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CF7E8">
      <w:pPr>
        <w:spacing w:line="600" w:lineRule="exact"/>
        <w:jc w:val="center"/>
        <w:rPr>
          <w:rFonts w:ascii="仿宋" w:hAnsi="仿宋" w:eastAsia="仿宋" w:cs="仿宋"/>
          <w:b/>
          <w:sz w:val="52"/>
          <w:szCs w:val="52"/>
        </w:rPr>
      </w:pPr>
      <w:bookmarkStart w:id="0" w:name="_Hlk70189105"/>
      <w:bookmarkStart w:id="1" w:name="_Hlk70187013"/>
      <w:bookmarkStart w:id="2" w:name="_Hlk70189144"/>
    </w:p>
    <w:p w14:paraId="470F6E53">
      <w:pPr>
        <w:spacing w:line="600" w:lineRule="exact"/>
        <w:jc w:val="center"/>
        <w:rPr>
          <w:rFonts w:ascii="仿宋" w:hAnsi="仿宋" w:eastAsia="仿宋" w:cs="仿宋"/>
          <w:b/>
          <w:sz w:val="52"/>
          <w:szCs w:val="52"/>
        </w:rPr>
      </w:pPr>
    </w:p>
    <w:p w14:paraId="3608477C">
      <w:pPr>
        <w:spacing w:line="600" w:lineRule="exact"/>
        <w:jc w:val="center"/>
        <w:rPr>
          <w:rFonts w:hint="eastAsia" w:ascii="仿宋" w:hAnsi="仿宋" w:eastAsia="仿宋" w:cs="仿宋"/>
          <w:b/>
          <w:sz w:val="52"/>
          <w:szCs w:val="52"/>
          <w:lang w:eastAsia="zh-CN"/>
        </w:rPr>
      </w:pPr>
      <w:r>
        <w:rPr>
          <w:rFonts w:hint="eastAsia" w:ascii="仿宋" w:hAnsi="仿宋" w:eastAsia="仿宋" w:cs="仿宋"/>
          <w:b/>
          <w:sz w:val="52"/>
          <w:szCs w:val="52"/>
          <w:lang w:val="en-US" w:eastAsia="zh-CN"/>
        </w:rPr>
        <w:t>江苏公共文化云</w:t>
      </w:r>
    </w:p>
    <w:p w14:paraId="76AB3802">
      <w:pPr>
        <w:spacing w:line="600" w:lineRule="exact"/>
        <w:jc w:val="center"/>
        <w:rPr>
          <w:rFonts w:ascii="仿宋" w:hAnsi="仿宋" w:eastAsia="仿宋" w:cs="仿宋"/>
          <w:b/>
          <w:sz w:val="52"/>
          <w:szCs w:val="52"/>
        </w:rPr>
      </w:pPr>
      <w:r>
        <w:rPr>
          <w:rFonts w:hint="eastAsia" w:ascii="仿宋" w:hAnsi="仿宋" w:eastAsia="仿宋" w:cs="仿宋"/>
          <w:b/>
          <w:sz w:val="52"/>
          <w:szCs w:val="52"/>
        </w:rPr>
        <w:t>商用密码应用安全性评估项目</w:t>
      </w:r>
    </w:p>
    <w:p w14:paraId="467E3FEA">
      <w:pPr>
        <w:pStyle w:val="2"/>
      </w:pPr>
    </w:p>
    <w:p w14:paraId="7466BFD5">
      <w:pPr>
        <w:pStyle w:val="2"/>
      </w:pPr>
    </w:p>
    <w:p w14:paraId="24DA47B1">
      <w:pPr>
        <w:spacing w:before="156" w:beforeLines="50" w:after="156" w:afterLines="50"/>
        <w:jc w:val="center"/>
        <w:rPr>
          <w:rFonts w:ascii="仿宋" w:hAnsi="仿宋" w:eastAsia="仿宋" w:cs="仿宋"/>
          <w:b/>
          <w:sz w:val="84"/>
          <w:szCs w:val="84"/>
        </w:rPr>
      </w:pPr>
    </w:p>
    <w:p w14:paraId="64FD07C6">
      <w:pPr>
        <w:spacing w:before="156" w:beforeLines="50" w:after="156" w:afterLines="50"/>
        <w:jc w:val="center"/>
        <w:rPr>
          <w:rFonts w:ascii="仿宋" w:hAnsi="仿宋" w:eastAsia="仿宋" w:cs="仿宋"/>
          <w:b/>
          <w:sz w:val="84"/>
          <w:szCs w:val="84"/>
        </w:rPr>
      </w:pPr>
      <w:r>
        <w:rPr>
          <w:rFonts w:hint="eastAsia" w:ascii="仿宋" w:hAnsi="仿宋" w:eastAsia="仿宋" w:cs="仿宋"/>
          <w:b/>
          <w:sz w:val="84"/>
          <w:szCs w:val="84"/>
        </w:rPr>
        <w:t>招标文件</w:t>
      </w:r>
    </w:p>
    <w:p w14:paraId="5A2012CA">
      <w:pPr>
        <w:pStyle w:val="2"/>
      </w:pPr>
    </w:p>
    <w:p w14:paraId="1B7DC3C0">
      <w:pPr>
        <w:pStyle w:val="2"/>
      </w:pPr>
    </w:p>
    <w:p w14:paraId="42CB5399">
      <w:pPr>
        <w:spacing w:line="480" w:lineRule="exact"/>
        <w:jc w:val="center"/>
        <w:rPr>
          <w:rFonts w:ascii="仿宋" w:hAnsi="仿宋" w:eastAsia="仿宋" w:cs="仿宋"/>
          <w:b/>
          <w:sz w:val="36"/>
          <w:szCs w:val="36"/>
        </w:rPr>
      </w:pPr>
    </w:p>
    <w:p w14:paraId="0D52ECED">
      <w:pPr>
        <w:spacing w:line="480" w:lineRule="exact"/>
        <w:jc w:val="center"/>
        <w:rPr>
          <w:rFonts w:ascii="仿宋" w:hAnsi="仿宋" w:eastAsia="仿宋" w:cs="仿宋"/>
          <w:b/>
          <w:sz w:val="36"/>
          <w:szCs w:val="36"/>
        </w:rPr>
      </w:pPr>
    </w:p>
    <w:p w14:paraId="4157F97E">
      <w:pPr>
        <w:spacing w:line="480" w:lineRule="exact"/>
        <w:jc w:val="center"/>
        <w:rPr>
          <w:rFonts w:ascii="仿宋" w:hAnsi="仿宋" w:eastAsia="仿宋" w:cs="仿宋"/>
          <w:b/>
          <w:sz w:val="36"/>
          <w:szCs w:val="36"/>
        </w:rPr>
      </w:pPr>
    </w:p>
    <w:p w14:paraId="670B35DB">
      <w:pPr>
        <w:spacing w:line="480" w:lineRule="exact"/>
        <w:jc w:val="center"/>
        <w:rPr>
          <w:rFonts w:ascii="仿宋" w:hAnsi="仿宋" w:eastAsia="仿宋" w:cs="仿宋"/>
          <w:b/>
          <w:sz w:val="36"/>
          <w:szCs w:val="36"/>
        </w:rPr>
      </w:pPr>
    </w:p>
    <w:p w14:paraId="341DFFA8">
      <w:pPr>
        <w:spacing w:line="480" w:lineRule="exact"/>
        <w:jc w:val="center"/>
        <w:rPr>
          <w:rFonts w:ascii="仿宋" w:hAnsi="仿宋" w:eastAsia="仿宋" w:cs="仿宋"/>
          <w:b/>
          <w:sz w:val="36"/>
          <w:szCs w:val="36"/>
        </w:rPr>
      </w:pPr>
    </w:p>
    <w:p w14:paraId="7DE5957C">
      <w:pPr>
        <w:spacing w:line="480" w:lineRule="exact"/>
        <w:jc w:val="center"/>
        <w:rPr>
          <w:rFonts w:ascii="仿宋" w:hAnsi="仿宋" w:eastAsia="仿宋" w:cs="仿宋"/>
          <w:b/>
          <w:sz w:val="36"/>
          <w:szCs w:val="36"/>
        </w:rPr>
      </w:pPr>
    </w:p>
    <w:p w14:paraId="6BA4C4DC">
      <w:pPr>
        <w:spacing w:line="480" w:lineRule="exact"/>
        <w:jc w:val="center"/>
        <w:rPr>
          <w:rFonts w:ascii="仿宋" w:hAnsi="仿宋" w:eastAsia="仿宋" w:cs="仿宋"/>
          <w:b/>
          <w:sz w:val="36"/>
          <w:szCs w:val="36"/>
        </w:rPr>
      </w:pPr>
    </w:p>
    <w:p w14:paraId="2B210DDB">
      <w:pPr>
        <w:spacing w:line="480" w:lineRule="exact"/>
        <w:jc w:val="center"/>
        <w:rPr>
          <w:rFonts w:hint="default" w:ascii="仿宋" w:hAnsi="仿宋" w:eastAsia="仿宋" w:cs="宋体"/>
          <w:b/>
          <w:sz w:val="52"/>
          <w:szCs w:val="52"/>
          <w:lang w:val="en-US" w:eastAsia="zh-CN"/>
        </w:rPr>
      </w:pPr>
      <w:r>
        <w:rPr>
          <w:rFonts w:hint="eastAsia" w:ascii="仿宋" w:hAnsi="仿宋" w:eastAsia="仿宋" w:cs="仿宋"/>
          <w:b/>
          <w:sz w:val="36"/>
          <w:szCs w:val="36"/>
        </w:rPr>
        <w:t>采购</w:t>
      </w:r>
      <w:r>
        <w:rPr>
          <w:rFonts w:hint="eastAsia" w:ascii="仿宋" w:hAnsi="仿宋" w:eastAsia="仿宋" w:cs="仿宋"/>
          <w:b/>
          <w:sz w:val="36"/>
          <w:szCs w:val="36"/>
          <w:lang w:val="en-US" w:eastAsia="zh-CN"/>
        </w:rPr>
        <w:t>单位</w:t>
      </w:r>
      <w:r>
        <w:rPr>
          <w:rFonts w:hint="eastAsia" w:ascii="仿宋" w:hAnsi="仿宋" w:eastAsia="仿宋" w:cs="仿宋"/>
          <w:b/>
          <w:sz w:val="36"/>
          <w:szCs w:val="36"/>
        </w:rPr>
        <w:t>：</w:t>
      </w:r>
      <w:r>
        <w:rPr>
          <w:rFonts w:hint="eastAsia" w:ascii="仿宋" w:hAnsi="仿宋" w:eastAsia="仿宋" w:cs="仿宋"/>
          <w:b/>
          <w:sz w:val="36"/>
          <w:szCs w:val="36"/>
          <w:lang w:val="en-US" w:eastAsia="zh-CN"/>
        </w:rPr>
        <w:t>江苏省文化馆</w:t>
      </w:r>
    </w:p>
    <w:p w14:paraId="2E1D4D9F">
      <w:pPr>
        <w:spacing w:before="312" w:beforeLines="100" w:after="312" w:afterLines="100" w:line="480" w:lineRule="exact"/>
        <w:jc w:val="center"/>
        <w:rPr>
          <w:rFonts w:ascii="仿宋" w:hAnsi="仿宋" w:eastAsia="仿宋" w:cs="仿宋"/>
          <w:b/>
          <w:sz w:val="36"/>
          <w:szCs w:val="36"/>
        </w:rPr>
      </w:pPr>
      <w:r>
        <w:rPr>
          <w:rFonts w:hint="eastAsia" w:ascii="仿宋" w:hAnsi="仿宋" w:eastAsia="仿宋" w:cs="仿宋"/>
          <w:b/>
          <w:sz w:val="36"/>
          <w:szCs w:val="36"/>
        </w:rPr>
        <w:t>日    期：2024年7月</w:t>
      </w:r>
      <w:r>
        <w:rPr>
          <w:rFonts w:ascii="仿宋" w:hAnsi="仿宋" w:eastAsia="仿宋" w:cs="仿宋"/>
          <w:b/>
          <w:sz w:val="36"/>
          <w:szCs w:val="36"/>
        </w:rPr>
        <w:t>26</w:t>
      </w:r>
      <w:r>
        <w:rPr>
          <w:rFonts w:hint="eastAsia" w:ascii="仿宋" w:hAnsi="仿宋" w:eastAsia="仿宋" w:cs="仿宋"/>
          <w:b/>
          <w:sz w:val="36"/>
          <w:szCs w:val="36"/>
        </w:rPr>
        <w:t>日</w:t>
      </w:r>
    </w:p>
    <w:p w14:paraId="3537960B">
      <w:pPr>
        <w:widowControl/>
        <w:jc w:val="center"/>
        <w:rPr>
          <w:rFonts w:ascii="Times New Roman" w:hAnsi="Times New Roman" w:eastAsia="黑体" w:cs="Times New Roman"/>
          <w:sz w:val="44"/>
          <w:szCs w:val="44"/>
        </w:rPr>
      </w:pPr>
    </w:p>
    <w:p w14:paraId="3083F033">
      <w:pPr>
        <w:pStyle w:val="13"/>
        <w:shd w:val="clear" w:color="auto" w:fill="FFFFFF"/>
        <w:spacing w:before="0" w:beforeAutospacing="0" w:after="0" w:afterAutospacing="0" w:line="370" w:lineRule="atLeast"/>
        <w:ind w:firstLine="420"/>
        <w:rPr>
          <w:rFonts w:ascii="微软雅黑" w:hAnsi="微软雅黑" w:eastAsia="微软雅黑" w:cs="微软雅黑"/>
          <w:sz w:val="18"/>
          <w:szCs w:val="18"/>
          <w:shd w:val="clear" w:color="auto" w:fill="FFFFFF"/>
        </w:rPr>
      </w:pPr>
    </w:p>
    <w:p w14:paraId="50A2A3F3">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江苏省文化馆</w:t>
      </w:r>
      <w:r>
        <w:rPr>
          <w:rFonts w:hint="eastAsia" w:ascii="方正仿宋_GBK" w:hAnsi="方正仿宋_GBK" w:eastAsia="方正仿宋_GBK" w:cs="方正仿宋_GBK"/>
          <w:sz w:val="32"/>
          <w:szCs w:val="32"/>
          <w:shd w:val="clear" w:color="auto" w:fill="FFFFFF"/>
        </w:rPr>
        <w:t>拟对</w:t>
      </w:r>
      <w:r>
        <w:rPr>
          <w:rFonts w:hint="eastAsia" w:ascii="方正仿宋_GBK" w:hAnsi="方正仿宋_GBK" w:eastAsia="方正仿宋_GBK" w:cs="方正仿宋_GBK"/>
          <w:sz w:val="32"/>
          <w:szCs w:val="32"/>
          <w:shd w:val="clear" w:color="auto" w:fill="FFFFFF"/>
          <w:lang w:val="en-US" w:eastAsia="zh-CN"/>
        </w:rPr>
        <w:t>江苏公共文化云</w:t>
      </w:r>
      <w:r>
        <w:rPr>
          <w:rFonts w:hint="eastAsia" w:ascii="方正仿宋_GBK" w:hAnsi="方正仿宋_GBK" w:eastAsia="方正仿宋_GBK" w:cs="方正仿宋_GBK"/>
          <w:sz w:val="32"/>
          <w:szCs w:val="32"/>
          <w:shd w:val="clear" w:color="auto" w:fill="FFFFFF"/>
        </w:rPr>
        <w:t>商用密码应用安全性评估项目进行采购，公告如下：</w:t>
      </w:r>
    </w:p>
    <w:p w14:paraId="0A788FCD">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一、项目名称：</w:t>
      </w:r>
      <w:r>
        <w:rPr>
          <w:rFonts w:hint="eastAsia" w:ascii="方正仿宋_GBK" w:hAnsi="方正仿宋_GBK" w:eastAsia="方正仿宋_GBK" w:cs="方正仿宋_GBK"/>
          <w:sz w:val="32"/>
          <w:szCs w:val="32"/>
          <w:shd w:val="clear" w:color="auto" w:fill="FFFFFF"/>
          <w:lang w:val="en-US" w:eastAsia="zh-CN"/>
        </w:rPr>
        <w:t>江苏公共文化云</w:t>
      </w:r>
      <w:r>
        <w:rPr>
          <w:rFonts w:hint="eastAsia" w:ascii="方正仿宋_GBK" w:hAnsi="方正仿宋_GBK" w:eastAsia="方正仿宋_GBK" w:cs="方正仿宋_GBK"/>
          <w:sz w:val="32"/>
          <w:szCs w:val="32"/>
          <w:shd w:val="clear" w:color="auto" w:fill="FFFFFF"/>
        </w:rPr>
        <w:t>商用密码应用安全性评估项目</w:t>
      </w:r>
    </w:p>
    <w:p w14:paraId="4E315BE0">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rPr>
        <w:t>二、项目预算：</w:t>
      </w:r>
      <w:r>
        <w:rPr>
          <w:rFonts w:hint="eastAsia" w:ascii="方正仿宋_GBK" w:hAnsi="方正仿宋_GBK" w:eastAsia="方正仿宋_GBK" w:cs="方正仿宋_GBK"/>
          <w:sz w:val="32"/>
          <w:szCs w:val="32"/>
          <w:shd w:val="clear" w:color="auto" w:fill="FFFFFF"/>
        </w:rPr>
        <w:t>捌万元整（¥80000.00）</w:t>
      </w:r>
    </w:p>
    <w:p w14:paraId="1AB78B27">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lang w:val="en-US" w:eastAsia="zh-CN"/>
        </w:rPr>
        <w:t>三</w:t>
      </w:r>
      <w:r>
        <w:rPr>
          <w:rFonts w:hint="eastAsia" w:ascii="方正仿宋_GBK" w:hAnsi="方正仿宋_GBK" w:eastAsia="方正仿宋_GBK" w:cs="方正仿宋_GBK"/>
          <w:b/>
          <w:bCs/>
          <w:sz w:val="32"/>
          <w:szCs w:val="32"/>
          <w:shd w:val="clear" w:color="auto" w:fill="FFFFFF"/>
        </w:rPr>
        <w:t>、采购需求：</w:t>
      </w:r>
      <w:r>
        <w:rPr>
          <w:rFonts w:hint="eastAsia" w:ascii="方正仿宋_GBK" w:hAnsi="方正仿宋_GBK" w:eastAsia="方正仿宋_GBK" w:cs="方正仿宋_GBK"/>
          <w:sz w:val="32"/>
          <w:szCs w:val="32"/>
          <w:shd w:val="clear" w:color="auto" w:fill="FFFFFF"/>
        </w:rPr>
        <w:t>详见附件</w:t>
      </w:r>
    </w:p>
    <w:p w14:paraId="6D039C2D">
      <w:pPr>
        <w:pStyle w:val="13"/>
        <w:shd w:val="clear" w:color="auto" w:fill="FFFFFF"/>
        <w:spacing w:before="0" w:beforeAutospacing="0" w:after="0" w:afterAutospacing="0" w:line="370" w:lineRule="atLeast"/>
        <w:ind w:firstLine="42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b/>
          <w:bCs/>
          <w:sz w:val="32"/>
          <w:szCs w:val="32"/>
          <w:shd w:val="clear" w:color="auto" w:fill="FFFFFF"/>
          <w:lang w:val="en-US" w:eastAsia="zh-CN"/>
        </w:rPr>
        <w:t>四</w:t>
      </w:r>
      <w:r>
        <w:rPr>
          <w:rFonts w:hint="eastAsia" w:ascii="方正仿宋_GBK" w:hAnsi="方正仿宋_GBK" w:eastAsia="方正仿宋_GBK" w:cs="方正仿宋_GBK"/>
          <w:b/>
          <w:bCs/>
          <w:sz w:val="32"/>
          <w:szCs w:val="32"/>
          <w:shd w:val="clear" w:color="auto" w:fill="FFFFFF"/>
        </w:rPr>
        <w:t>、评分办法：</w:t>
      </w:r>
      <w:r>
        <w:rPr>
          <w:rFonts w:hint="eastAsia" w:ascii="方正仿宋_GBK" w:hAnsi="方正仿宋_GBK" w:eastAsia="方正仿宋_GBK" w:cs="方正仿宋_GBK"/>
          <w:sz w:val="32"/>
          <w:szCs w:val="32"/>
          <w:shd w:val="clear" w:color="auto" w:fill="FFFFFF"/>
        </w:rPr>
        <w:t>综合评分法</w:t>
      </w:r>
    </w:p>
    <w:p w14:paraId="7911AA5B">
      <w:pPr>
        <w:pStyle w:val="13"/>
        <w:shd w:val="clear" w:color="auto" w:fill="FFFFFF"/>
        <w:spacing w:before="0" w:beforeAutospacing="0" w:after="0" w:afterAutospacing="0" w:line="370" w:lineRule="atLeast"/>
        <w:ind w:firstLine="42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b/>
          <w:bCs/>
          <w:sz w:val="32"/>
          <w:szCs w:val="32"/>
          <w:shd w:val="clear" w:color="auto" w:fill="FFFFFF"/>
          <w:lang w:val="en-US" w:eastAsia="zh-CN"/>
        </w:rPr>
        <w:t>五</w:t>
      </w:r>
      <w:r>
        <w:rPr>
          <w:rFonts w:hint="eastAsia" w:ascii="方正仿宋_GBK" w:hAnsi="方正仿宋_GBK" w:eastAsia="方正仿宋_GBK" w:cs="方正仿宋_GBK"/>
          <w:b/>
          <w:bCs/>
          <w:sz w:val="32"/>
          <w:szCs w:val="32"/>
          <w:shd w:val="clear" w:color="auto" w:fill="FFFFFF"/>
        </w:rPr>
        <w:t>、</w:t>
      </w:r>
      <w:r>
        <w:rPr>
          <w:rFonts w:hint="eastAsia" w:ascii="方正仿宋_GBK" w:hAnsi="方正仿宋_GBK" w:eastAsia="方正仿宋_GBK" w:cs="方正仿宋_GBK"/>
          <w:b/>
          <w:bCs/>
          <w:sz w:val="32"/>
          <w:szCs w:val="32"/>
          <w:shd w:val="clear" w:color="auto" w:fill="FFFFFF"/>
          <w:lang w:val="en-US" w:eastAsia="zh-CN"/>
        </w:rPr>
        <w:t>响应文件开始接收时间</w:t>
      </w:r>
      <w:r>
        <w:rPr>
          <w:rFonts w:hint="eastAsia" w:ascii="方正仿宋_GBK" w:hAnsi="方正仿宋_GBK" w:eastAsia="方正仿宋_GBK" w:cs="方正仿宋_GBK"/>
          <w:b/>
          <w:bCs/>
          <w:sz w:val="32"/>
          <w:szCs w:val="32"/>
          <w:shd w:val="clear" w:color="auto" w:fill="FFFFFF"/>
        </w:rPr>
        <w:t>：</w:t>
      </w:r>
      <w:r>
        <w:rPr>
          <w:rFonts w:hint="eastAsia" w:ascii="方正仿宋_GBK" w:hAnsi="方正仿宋_GBK" w:eastAsia="方正仿宋_GBK" w:cs="方正仿宋_GBK"/>
          <w:sz w:val="32"/>
          <w:szCs w:val="32"/>
          <w:shd w:val="clear" w:color="auto" w:fill="FFFFFF"/>
        </w:rPr>
        <w:t>2024年7月</w:t>
      </w:r>
      <w:r>
        <w:rPr>
          <w:rFonts w:ascii="方正仿宋_GBK" w:hAnsi="方正仿宋_GBK" w:eastAsia="方正仿宋_GBK" w:cs="方正仿宋_GBK"/>
          <w:sz w:val="32"/>
          <w:szCs w:val="32"/>
          <w:shd w:val="clear" w:color="auto" w:fill="FFFFFF"/>
        </w:rPr>
        <w:t>26</w:t>
      </w:r>
      <w:r>
        <w:rPr>
          <w:rFonts w:hint="eastAsia" w:ascii="方正仿宋_GBK" w:hAnsi="方正仿宋_GBK" w:eastAsia="方正仿宋_GBK" w:cs="方正仿宋_GBK"/>
          <w:sz w:val="32"/>
          <w:szCs w:val="32"/>
          <w:shd w:val="clear" w:color="auto" w:fill="FFFFFF"/>
        </w:rPr>
        <w:t>日</w:t>
      </w:r>
    </w:p>
    <w:p w14:paraId="0E621609">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lang w:val="en-US" w:eastAsia="zh-CN"/>
        </w:rPr>
        <w:t>六</w:t>
      </w:r>
      <w:r>
        <w:rPr>
          <w:rFonts w:hint="eastAsia" w:ascii="方正仿宋_GBK" w:hAnsi="方正仿宋_GBK" w:eastAsia="方正仿宋_GBK" w:cs="方正仿宋_GBK"/>
          <w:b/>
          <w:bCs/>
          <w:sz w:val="32"/>
          <w:szCs w:val="32"/>
          <w:shd w:val="clear" w:color="auto" w:fill="FFFFFF"/>
        </w:rPr>
        <w:t>、</w:t>
      </w:r>
      <w:r>
        <w:rPr>
          <w:rFonts w:hint="eastAsia" w:ascii="方正仿宋_GBK" w:hAnsi="方正仿宋_GBK" w:eastAsia="方正仿宋_GBK" w:cs="方正仿宋_GBK"/>
          <w:b/>
          <w:bCs/>
          <w:sz w:val="32"/>
          <w:szCs w:val="32"/>
          <w:shd w:val="clear" w:color="auto" w:fill="FFFFFF"/>
          <w:lang w:val="en-US" w:eastAsia="zh-CN"/>
        </w:rPr>
        <w:t>响应文件接收截止时间</w:t>
      </w:r>
      <w:r>
        <w:rPr>
          <w:rFonts w:hint="eastAsia" w:ascii="方正仿宋_GBK" w:hAnsi="方正仿宋_GBK" w:eastAsia="方正仿宋_GBK" w:cs="方正仿宋_GBK"/>
          <w:b/>
          <w:bCs/>
          <w:sz w:val="32"/>
          <w:szCs w:val="32"/>
          <w:shd w:val="clear" w:color="auto" w:fill="FFFFFF"/>
        </w:rPr>
        <w:t>：</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8</w:t>
      </w:r>
      <w:r>
        <w:rPr>
          <w:rFonts w:hint="eastAsia" w:ascii="方正仿宋_GBK" w:hAnsi="方正仿宋_GBK" w:eastAsia="方正仿宋_GBK" w:cs="方正仿宋_GBK"/>
          <w:sz w:val="32"/>
          <w:szCs w:val="32"/>
          <w:shd w:val="clear" w:color="auto" w:fill="FFFFFF"/>
        </w:rPr>
        <w:t>月2日14</w:t>
      </w:r>
      <w:r>
        <w:rPr>
          <w:rFonts w:hint="eastAsia" w:ascii="方正仿宋_GBK" w:hAnsi="方正仿宋_GBK" w:eastAsia="方正仿宋_GBK" w:cs="方正仿宋_GBK"/>
          <w:sz w:val="32"/>
          <w:szCs w:val="32"/>
          <w:shd w:val="clear" w:color="auto" w:fill="FFFFFF"/>
          <w:lang w:val="en-US" w:eastAsia="zh-CN"/>
        </w:rPr>
        <w:t>:30</w:t>
      </w:r>
    </w:p>
    <w:p w14:paraId="63F419F4">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shd w:val="clear" w:color="auto" w:fill="FFFFFF"/>
          <w:lang w:val="en-US" w:eastAsia="zh-CN"/>
        </w:rPr>
        <w:t>七</w:t>
      </w:r>
      <w:r>
        <w:rPr>
          <w:rFonts w:hint="eastAsia" w:ascii="方正仿宋_GBK" w:hAnsi="方正仿宋_GBK" w:eastAsia="方正仿宋_GBK" w:cs="方正仿宋_GBK"/>
          <w:b/>
          <w:bCs/>
          <w:sz w:val="32"/>
          <w:szCs w:val="32"/>
          <w:shd w:val="clear" w:color="auto" w:fill="FFFFFF"/>
        </w:rPr>
        <w:t>、响应文件接收地点：</w:t>
      </w:r>
      <w:r>
        <w:rPr>
          <w:rFonts w:hint="eastAsia" w:ascii="方正仿宋_GBK" w:hAnsi="方正仿宋_GBK" w:eastAsia="方正仿宋_GBK" w:cs="方正仿宋_GBK"/>
          <w:sz w:val="32"/>
          <w:szCs w:val="32"/>
          <w:shd w:val="clear" w:color="auto" w:fill="FFFFFF"/>
          <w:lang w:val="en-US" w:eastAsia="zh-CN"/>
        </w:rPr>
        <w:t>江苏省南京市</w:t>
      </w:r>
      <w:r>
        <w:rPr>
          <w:rFonts w:hint="eastAsia" w:ascii="方正仿宋_GBK" w:hAnsi="方正仿宋_GBK" w:eastAsia="方正仿宋_GBK" w:cs="方正仿宋_GBK"/>
          <w:sz w:val="32"/>
          <w:szCs w:val="32"/>
          <w:shd w:val="clear" w:color="auto" w:fill="FFFFFF"/>
        </w:rPr>
        <w:t>秦淮区羊皮巷24-1号江苏省文化馆二楼</w:t>
      </w:r>
      <w:r>
        <w:rPr>
          <w:rFonts w:ascii="方正仿宋_GBK" w:hAnsi="方正仿宋_GBK" w:eastAsia="方正仿宋_GBK" w:cs="方正仿宋_GBK"/>
          <w:sz w:val="32"/>
          <w:szCs w:val="32"/>
        </w:rPr>
        <w:t xml:space="preserve"> </w:t>
      </w:r>
    </w:p>
    <w:p w14:paraId="3D89B114">
      <w:pPr>
        <w:pStyle w:val="13"/>
        <w:shd w:val="clear" w:color="auto" w:fill="FFFFFF"/>
        <w:spacing w:before="0" w:beforeAutospacing="0" w:after="0" w:afterAutospacing="0" w:line="370" w:lineRule="atLeast"/>
        <w:ind w:firstLine="420"/>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b/>
          <w:bCs/>
          <w:sz w:val="32"/>
          <w:szCs w:val="32"/>
          <w:shd w:val="clear" w:color="auto" w:fill="FFFFFF"/>
          <w:lang w:val="en-US" w:eastAsia="zh-CN"/>
        </w:rPr>
        <w:t>八</w:t>
      </w:r>
      <w:r>
        <w:rPr>
          <w:rFonts w:hint="eastAsia" w:ascii="方正仿宋_GBK" w:hAnsi="方正仿宋_GBK" w:eastAsia="方正仿宋_GBK" w:cs="方正仿宋_GBK"/>
          <w:b/>
          <w:bCs/>
          <w:sz w:val="32"/>
          <w:szCs w:val="32"/>
          <w:shd w:val="clear" w:color="auto" w:fill="FFFFFF"/>
        </w:rPr>
        <w:t>、开标时间</w:t>
      </w:r>
      <w:r>
        <w:rPr>
          <w:rFonts w:hint="eastAsia" w:ascii="方正仿宋_GBK" w:hAnsi="方正仿宋_GBK" w:eastAsia="方正仿宋_GBK" w:cs="方正仿宋_GBK"/>
          <w:b/>
          <w:bCs/>
          <w:sz w:val="32"/>
          <w:szCs w:val="32"/>
          <w:shd w:val="clear" w:color="auto" w:fill="FFFFFF"/>
          <w:lang w:eastAsia="zh-CN"/>
        </w:rPr>
        <w:t>、</w:t>
      </w:r>
      <w:r>
        <w:rPr>
          <w:rFonts w:hint="eastAsia" w:ascii="方正仿宋_GBK" w:hAnsi="方正仿宋_GBK" w:eastAsia="方正仿宋_GBK" w:cs="方正仿宋_GBK"/>
          <w:b/>
          <w:bCs/>
          <w:sz w:val="32"/>
          <w:szCs w:val="32"/>
          <w:shd w:val="clear" w:color="auto" w:fill="FFFFFF"/>
          <w:lang w:val="en-US" w:eastAsia="zh-CN"/>
        </w:rPr>
        <w:t>地点</w:t>
      </w:r>
      <w:r>
        <w:rPr>
          <w:rFonts w:hint="eastAsia" w:ascii="方正仿宋_GBK" w:hAnsi="方正仿宋_GBK" w:eastAsia="方正仿宋_GBK" w:cs="方正仿宋_GBK"/>
          <w:b/>
          <w:bCs/>
          <w:sz w:val="32"/>
          <w:szCs w:val="32"/>
          <w:shd w:val="clear" w:color="auto" w:fill="FFFFFF"/>
        </w:rPr>
        <w:t>：</w:t>
      </w:r>
      <w:r>
        <w:rPr>
          <w:rFonts w:hint="eastAsia" w:ascii="方正仿宋_GBK" w:hAnsi="方正仿宋_GBK" w:eastAsia="方正仿宋_GBK" w:cs="方正仿宋_GBK"/>
          <w:sz w:val="32"/>
          <w:szCs w:val="32"/>
          <w:shd w:val="clear" w:color="auto" w:fill="FFFFFF"/>
        </w:rPr>
        <w:t>2024年</w:t>
      </w:r>
      <w:r>
        <w:rPr>
          <w:rFonts w:ascii="方正仿宋_GBK" w:hAnsi="方正仿宋_GBK" w:eastAsia="方正仿宋_GBK" w:cs="方正仿宋_GBK"/>
          <w:sz w:val="32"/>
          <w:szCs w:val="32"/>
          <w:shd w:val="clear" w:color="auto" w:fill="FFFFFF"/>
        </w:rPr>
        <w:t>8</w:t>
      </w:r>
      <w:r>
        <w:rPr>
          <w:rFonts w:hint="eastAsia" w:ascii="方正仿宋_GBK" w:hAnsi="方正仿宋_GBK" w:eastAsia="方正仿宋_GBK" w:cs="方正仿宋_GBK"/>
          <w:sz w:val="32"/>
          <w:szCs w:val="32"/>
          <w:shd w:val="clear" w:color="auto" w:fill="FFFFFF"/>
        </w:rPr>
        <w:t>月2日下午14</w:t>
      </w:r>
      <w:r>
        <w:rPr>
          <w:rFonts w:hint="eastAsia" w:ascii="方正仿宋_GBK" w:hAnsi="方正仿宋_GBK" w:eastAsia="方正仿宋_GBK" w:cs="方正仿宋_GBK"/>
          <w:sz w:val="32"/>
          <w:szCs w:val="32"/>
          <w:shd w:val="clear" w:color="auto" w:fill="FFFFFF"/>
          <w:lang w:val="en-US" w:eastAsia="zh-CN"/>
        </w:rPr>
        <w:t>:30</w:t>
      </w:r>
    </w:p>
    <w:p w14:paraId="6884711B">
      <w:pPr>
        <w:pStyle w:val="13"/>
        <w:shd w:val="clear" w:color="auto" w:fill="FFFFFF"/>
        <w:spacing w:before="0" w:beforeAutospacing="0" w:after="0" w:afterAutospacing="0" w:line="370" w:lineRule="atLeast"/>
        <w:ind w:firstLine="420"/>
        <w:rPr>
          <w:rFonts w:hint="eastAsia" w:ascii="方正仿宋_GBK" w:hAnsi="方正仿宋_GBK" w:eastAsia="方正仿宋_GBK" w:cs="方正仿宋_GBK"/>
          <w:sz w:val="32"/>
          <w:szCs w:val="32"/>
          <w:shd w:val="clear" w:color="auto" w:fill="FFFFFF"/>
          <w:lang w:val="en-US" w:eastAsia="zh-CN"/>
        </w:rPr>
      </w:pPr>
      <w:bookmarkStart w:id="5" w:name="_GoBack"/>
      <w:bookmarkEnd w:id="5"/>
      <w:r>
        <w:rPr>
          <w:rFonts w:hint="eastAsia" w:ascii="方正仿宋_GBK" w:hAnsi="方正仿宋_GBK" w:eastAsia="方正仿宋_GBK" w:cs="方正仿宋_GBK"/>
          <w:sz w:val="32"/>
          <w:szCs w:val="32"/>
          <w:shd w:val="clear" w:color="auto" w:fill="FFFFFF"/>
          <w:lang w:val="en-US" w:eastAsia="zh-CN"/>
        </w:rPr>
        <w:t>南京市秦淮区中山南路89号江苏文化大厦6楼省文化馆会议室</w:t>
      </w:r>
    </w:p>
    <w:p w14:paraId="4E74C370">
      <w:pPr>
        <w:pStyle w:val="13"/>
        <w:shd w:val="clear" w:color="auto" w:fill="FFFFFF"/>
        <w:spacing w:before="0" w:beforeAutospacing="0" w:after="0" w:afterAutospacing="0" w:line="370" w:lineRule="atLeast"/>
        <w:ind w:firstLine="42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sz w:val="32"/>
          <w:szCs w:val="32"/>
          <w:shd w:val="clear" w:color="auto" w:fill="FFFFFF"/>
        </w:rPr>
        <w:t>九</w:t>
      </w:r>
      <w:r>
        <w:rPr>
          <w:rFonts w:hint="eastAsia" w:ascii="方正仿宋_GBK" w:hAnsi="方正仿宋_GBK" w:eastAsia="方正仿宋_GBK" w:cs="方正仿宋_GBK"/>
          <w:b/>
          <w:bCs/>
          <w:sz w:val="32"/>
          <w:szCs w:val="32"/>
          <w:shd w:val="clear" w:color="auto" w:fill="FFFFFF"/>
        </w:rPr>
        <w:t>、联系人：</w:t>
      </w:r>
      <w:r>
        <w:rPr>
          <w:rFonts w:hint="eastAsia" w:ascii="方正仿宋_GBK" w:hAnsi="方正仿宋_GBK" w:eastAsia="方正仿宋_GBK" w:cs="方正仿宋_GBK"/>
          <w:sz w:val="32"/>
          <w:szCs w:val="32"/>
          <w:shd w:val="clear" w:color="auto" w:fill="FFFFFF"/>
          <w:lang w:val="en-US" w:eastAsia="zh-CN"/>
        </w:rPr>
        <w:t>王永志</w:t>
      </w:r>
      <w:r>
        <w:rPr>
          <w:rFonts w:hint="eastAsia" w:ascii="方正仿宋_GBK" w:hAnsi="方正仿宋_GBK" w:eastAsia="方正仿宋_GBK" w:cs="方正仿宋_GBK"/>
          <w:sz w:val="32"/>
          <w:szCs w:val="32"/>
          <w:shd w:val="clear" w:color="auto" w:fill="FFFFFF"/>
        </w:rPr>
        <w:t>，电话：</w:t>
      </w:r>
      <w:r>
        <w:rPr>
          <w:rFonts w:hint="eastAsia" w:ascii="方正仿宋_GBK" w:hAnsi="方正仿宋_GBK" w:eastAsia="方正仿宋_GBK" w:cs="方正仿宋_GBK"/>
          <w:sz w:val="32"/>
          <w:szCs w:val="32"/>
          <w:shd w:val="clear" w:color="auto" w:fill="FFFFFF"/>
          <w:lang w:val="en-US" w:eastAsia="zh-CN"/>
        </w:rPr>
        <w:t>025-84699150</w:t>
      </w:r>
    </w:p>
    <w:p w14:paraId="269498CF">
      <w:pPr>
        <w:pStyle w:val="13"/>
        <w:shd w:val="clear" w:color="auto" w:fill="FFFFFF"/>
        <w:spacing w:before="0" w:beforeAutospacing="0" w:after="0" w:afterAutospacing="0" w:line="370" w:lineRule="atLeast"/>
        <w:ind w:firstLine="420"/>
        <w:rPr>
          <w:rFonts w:ascii="方正仿宋_GBK" w:hAnsi="方正仿宋_GBK" w:eastAsia="方正仿宋_GBK" w:cs="方正仿宋_GBK"/>
          <w:b/>
          <w:sz w:val="32"/>
          <w:szCs w:val="32"/>
          <w:shd w:val="clear" w:color="auto" w:fill="FFFFFF"/>
        </w:rPr>
      </w:pPr>
      <w:r>
        <w:rPr>
          <w:rFonts w:hint="eastAsia" w:ascii="方正仿宋_GBK" w:hAnsi="方正仿宋_GBK" w:eastAsia="方正仿宋_GBK" w:cs="方正仿宋_GBK"/>
          <w:b/>
          <w:sz w:val="32"/>
          <w:szCs w:val="32"/>
          <w:shd w:val="clear" w:color="auto" w:fill="FFFFFF"/>
        </w:rPr>
        <w:t>十、投标供应商资格要求</w:t>
      </w:r>
    </w:p>
    <w:p w14:paraId="2DB6F7A5">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1、符合《中华人民共和国政府采购法》第22条规定；</w:t>
      </w:r>
    </w:p>
    <w:p w14:paraId="5F47427E">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2、具有合法经营资格并能承担完全民事责任的独立法人；</w:t>
      </w:r>
    </w:p>
    <w:p w14:paraId="4BCEB58A">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3、未被“信用中国”网站列入失信被执行人、重大税收违法案件当事人名单、政府采购严重失信行为记录名单；</w:t>
      </w:r>
    </w:p>
    <w:p w14:paraId="541739D6">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4、供应商须为国家密码管理局《商用密码应用安全性评估试点机构目录》内的单位，提供在目录内的证明材料并加盖公章；</w:t>
      </w:r>
    </w:p>
    <w:p w14:paraId="1A12A441">
      <w:pPr>
        <w:pStyle w:val="13"/>
        <w:shd w:val="clear" w:color="auto" w:fill="FFFFFF"/>
        <w:spacing w:before="0" w:beforeAutospacing="0" w:after="0" w:afterAutospacing="0" w:line="370" w:lineRule="atLeast"/>
        <w:ind w:firstLine="42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5、本项目不接受联合体参与投标。</w:t>
      </w:r>
    </w:p>
    <w:p w14:paraId="5E692072">
      <w:pPr>
        <w:widowControl/>
        <w:jc w:val="center"/>
        <w:rPr>
          <w:rFonts w:ascii="方正仿宋_GBK" w:hAnsi="方正仿宋_GBK" w:eastAsia="方正仿宋_GBK" w:cs="方正仿宋_GBK"/>
          <w:sz w:val="32"/>
          <w:szCs w:val="32"/>
        </w:rPr>
      </w:pPr>
    </w:p>
    <w:bookmarkEnd w:id="0"/>
    <w:bookmarkEnd w:id="1"/>
    <w:p w14:paraId="020E946D">
      <w:pPr>
        <w:widowControl/>
        <w:jc w:val="left"/>
        <w:rPr>
          <w:rFonts w:ascii="Times New Roman" w:hAnsi="Times New Roman" w:eastAsia="黑体" w:cs="Times New Roman"/>
          <w:sz w:val="44"/>
          <w:szCs w:val="44"/>
        </w:rPr>
      </w:pPr>
    </w:p>
    <w:p w14:paraId="06D7AC28">
      <w:pPr>
        <w:widowControl/>
        <w:jc w:val="center"/>
        <w:rPr>
          <w:rFonts w:ascii="Times New Roman" w:hAnsi="Times New Roman" w:eastAsia="黑体" w:cs="Times New Roman"/>
          <w:sz w:val="44"/>
          <w:szCs w:val="44"/>
        </w:rPr>
      </w:pPr>
      <w:r>
        <w:rPr>
          <w:rFonts w:hint="eastAsia" w:ascii="Times New Roman" w:hAnsi="Times New Roman" w:eastAsia="黑体" w:cs="Times New Roman"/>
          <w:sz w:val="44"/>
          <w:szCs w:val="44"/>
        </w:rPr>
        <w:t>江苏公共文化云</w:t>
      </w:r>
    </w:p>
    <w:p w14:paraId="0460D95E">
      <w:pPr>
        <w:widowControl/>
        <w:jc w:val="center"/>
        <w:rPr>
          <w:rFonts w:hint="eastAsia" w:ascii="Times New Roman" w:hAnsi="Times New Roman" w:eastAsia="黑体" w:cs="Times New Roman"/>
          <w:sz w:val="44"/>
          <w:szCs w:val="44"/>
          <w:lang w:val="en-US" w:eastAsia="zh-CN"/>
        </w:rPr>
      </w:pPr>
      <w:r>
        <w:rPr>
          <w:rFonts w:hint="eastAsia" w:ascii="Times New Roman" w:hAnsi="Times New Roman" w:eastAsia="黑体" w:cs="Times New Roman"/>
          <w:sz w:val="44"/>
          <w:szCs w:val="44"/>
        </w:rPr>
        <w:t>商用密码应用安全性评估</w:t>
      </w:r>
      <w:r>
        <w:rPr>
          <w:rFonts w:hint="eastAsia" w:ascii="Times New Roman" w:hAnsi="Times New Roman" w:eastAsia="黑体" w:cs="Times New Roman"/>
          <w:sz w:val="44"/>
          <w:szCs w:val="44"/>
          <w:lang w:val="en-US" w:eastAsia="zh-CN"/>
        </w:rPr>
        <w:t>项目</w:t>
      </w:r>
    </w:p>
    <w:p w14:paraId="23FA9B62">
      <w:pPr>
        <w:pStyle w:val="2"/>
        <w:rPr>
          <w:lang w:val="zh-CN"/>
        </w:rPr>
      </w:pPr>
    </w:p>
    <w:p w14:paraId="127F8E5F">
      <w:pPr>
        <w:widowControl/>
        <w:rPr>
          <w:rFonts w:ascii="Times New Roman" w:hAnsi="Times New Roman" w:eastAsia="黑体" w:cs="Times New Roman"/>
          <w:sz w:val="32"/>
          <w:szCs w:val="44"/>
        </w:rPr>
      </w:pPr>
      <w:r>
        <w:rPr>
          <w:rFonts w:hint="eastAsia" w:ascii="Times New Roman" w:hAnsi="Times New Roman" w:eastAsia="黑体" w:cs="Times New Roman"/>
          <w:sz w:val="32"/>
          <w:szCs w:val="44"/>
          <w:lang w:val="zh-CN"/>
        </w:rPr>
        <w:t>第一部分 项目</w:t>
      </w:r>
      <w:r>
        <w:rPr>
          <w:rFonts w:ascii="Times New Roman" w:hAnsi="Times New Roman" w:eastAsia="黑体" w:cs="Times New Roman"/>
          <w:sz w:val="32"/>
          <w:szCs w:val="44"/>
        </w:rPr>
        <w:t>需求</w:t>
      </w:r>
      <w:bookmarkEnd w:id="2"/>
    </w:p>
    <w:p w14:paraId="428584DB">
      <w:pPr>
        <w:pStyle w:val="25"/>
        <w:tabs>
          <w:tab w:val="left" w:pos="5325"/>
        </w:tabs>
        <w:snapToGrid w:val="0"/>
        <w:spacing w:before="156" w:beforeLines="50" w:after="156" w:afterLines="50"/>
        <w:ind w:firstLine="0" w:firstLineChars="0"/>
        <w:contextualSpacing/>
        <w:rPr>
          <w:rFonts w:ascii="黑体" w:hAnsi="黑体" w:eastAsia="黑体" w:cs="Times New Roman"/>
          <w:sz w:val="32"/>
          <w:szCs w:val="32"/>
        </w:rPr>
      </w:pPr>
      <w:bookmarkStart w:id="3" w:name="_Toc344724549"/>
      <w:r>
        <w:rPr>
          <w:rFonts w:ascii="黑体" w:hAnsi="黑体" w:eastAsia="黑体" w:cs="Times New Roman"/>
          <w:sz w:val="32"/>
          <w:szCs w:val="32"/>
        </w:rPr>
        <w:t>一、</w:t>
      </w:r>
      <w:r>
        <w:rPr>
          <w:rFonts w:hint="eastAsia" w:ascii="黑体" w:hAnsi="黑体" w:eastAsia="黑体" w:cs="Times New Roman"/>
          <w:sz w:val="32"/>
          <w:szCs w:val="32"/>
        </w:rPr>
        <w:t>基本</w:t>
      </w:r>
      <w:r>
        <w:rPr>
          <w:rFonts w:ascii="黑体" w:hAnsi="黑体" w:eastAsia="黑体" w:cs="Times New Roman"/>
          <w:sz w:val="32"/>
          <w:szCs w:val="32"/>
        </w:rPr>
        <w:t>情况</w:t>
      </w:r>
    </w:p>
    <w:p w14:paraId="1746928D">
      <w:pPr>
        <w:pStyle w:val="13"/>
        <w:shd w:val="clear" w:color="auto" w:fill="FFFFFF"/>
        <w:spacing w:before="0" w:beforeAutospacing="0" w:after="0" w:afterAutospacing="0" w:line="370" w:lineRule="atLeast"/>
        <w:ind w:firstLine="42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根据《中华人民共和国密码法》、《国家政务信息化项目建设管理办法》、《江苏省省级政务信息化项目建设管理办法》等要求，结合项目建设总体规划，需对江苏公共文化云开展商用密码应用安全性测评，深入查找网络安全的薄弱环节和安全隐患，分析面临的风险，确保系统安全性。</w:t>
      </w:r>
    </w:p>
    <w:p w14:paraId="0970E3DF">
      <w:pPr>
        <w:pStyle w:val="25"/>
        <w:tabs>
          <w:tab w:val="left" w:pos="5325"/>
        </w:tabs>
        <w:snapToGrid w:val="0"/>
        <w:spacing w:before="156" w:beforeLines="50" w:after="156" w:afterLines="50" w:line="360" w:lineRule="auto"/>
        <w:ind w:firstLine="0" w:firstLineChars="0"/>
        <w:contextualSpacing/>
        <w:rPr>
          <w:rFonts w:ascii="黑体" w:hAnsi="黑体" w:eastAsia="黑体" w:cs="Times New Roman"/>
          <w:sz w:val="32"/>
          <w:szCs w:val="32"/>
        </w:rPr>
      </w:pPr>
      <w:bookmarkStart w:id="4" w:name="_Hlk70068067"/>
      <w:r>
        <w:rPr>
          <w:rFonts w:ascii="黑体" w:hAnsi="黑体" w:eastAsia="黑体" w:cs="Times New Roman"/>
          <w:sz w:val="32"/>
          <w:szCs w:val="32"/>
        </w:rPr>
        <w:t>二、</w:t>
      </w:r>
      <w:r>
        <w:rPr>
          <w:rFonts w:hint="eastAsia" w:ascii="黑体" w:hAnsi="黑体" w:eastAsia="黑体" w:cs="Times New Roman"/>
          <w:sz w:val="32"/>
          <w:szCs w:val="32"/>
        </w:rPr>
        <w:t>服务内容</w:t>
      </w:r>
      <w:bookmarkEnd w:id="4"/>
    </w:p>
    <w:p w14:paraId="4AE2A1C6">
      <w:pPr>
        <w:pStyle w:val="3"/>
        <w:numPr>
          <w:ilvl w:val="2"/>
          <w:numId w:val="0"/>
        </w:numPr>
        <w:snapToGrid w:val="0"/>
        <w:spacing w:line="300" w:lineRule="auto"/>
        <w:ind w:firstLine="560" w:firstLineChars="200"/>
        <w:rPr>
          <w:rFonts w:ascii="Times New Roman" w:hAnsi="Times New Roman" w:eastAsia="方正仿宋_GBK" w:cs="Times New Roman"/>
          <w:b w:val="0"/>
          <w:bCs w:val="0"/>
          <w:kern w:val="0"/>
          <w:szCs w:val="28"/>
          <w:lang w:val="zh-CN"/>
        </w:rPr>
      </w:pPr>
      <w:r>
        <w:rPr>
          <w:rFonts w:ascii="Times New Roman" w:hAnsi="Times New Roman" w:eastAsia="方正仿宋_GBK" w:cs="Times New Roman"/>
          <w:b w:val="0"/>
          <w:bCs w:val="0"/>
          <w:kern w:val="0"/>
          <w:szCs w:val="28"/>
        </w:rPr>
        <w:t>1、商用密码应用安全性评估服务</w:t>
      </w:r>
    </w:p>
    <w:p w14:paraId="736518DF">
      <w:pPr>
        <w:pStyle w:val="3"/>
        <w:numPr>
          <w:ilvl w:val="2"/>
          <w:numId w:val="0"/>
        </w:numPr>
        <w:snapToGrid w:val="0"/>
        <w:spacing w:line="300" w:lineRule="auto"/>
        <w:ind w:firstLine="560" w:firstLineChars="200"/>
        <w:rPr>
          <w:rFonts w:ascii="Times New Roman" w:hAnsi="Times New Roman" w:eastAsia="方正仿宋_GBK" w:cs="Times New Roman"/>
          <w:b w:val="0"/>
          <w:bCs w:val="0"/>
          <w:kern w:val="0"/>
          <w:szCs w:val="28"/>
          <w:lang w:val="zh-CN"/>
        </w:rPr>
      </w:pPr>
      <w:r>
        <w:rPr>
          <w:rFonts w:ascii="Times New Roman" w:hAnsi="Times New Roman" w:eastAsia="方正仿宋_GBK" w:cs="Times New Roman"/>
          <w:b w:val="0"/>
          <w:bCs w:val="0"/>
          <w:kern w:val="0"/>
          <w:szCs w:val="28"/>
        </w:rPr>
        <w:t>1.1</w:t>
      </w:r>
      <w:r>
        <w:rPr>
          <w:rFonts w:ascii="Times New Roman" w:hAnsi="Times New Roman" w:eastAsia="方正仿宋_GBK" w:cs="Times New Roman"/>
          <w:b w:val="0"/>
          <w:bCs w:val="0"/>
          <w:kern w:val="0"/>
          <w:szCs w:val="28"/>
          <w:lang w:val="zh-CN"/>
        </w:rPr>
        <w:t>本次测评涉及的信息系统</w:t>
      </w:r>
    </w:p>
    <w:tbl>
      <w:tblPr>
        <w:tblStyle w:val="1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2"/>
        <w:gridCol w:w="1729"/>
      </w:tblGrid>
      <w:tr w14:paraId="3EA7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59" w:type="dxa"/>
            <w:vAlign w:val="center"/>
          </w:tcPr>
          <w:p w14:paraId="08780B17">
            <w:pPr>
              <w:widowControl/>
              <w:shd w:val="clear" w:color="auto" w:fill="FFFFFF" w:themeFill="background1"/>
              <w:spacing w:line="360" w:lineRule="auto"/>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序号</w:t>
            </w:r>
          </w:p>
        </w:tc>
        <w:tc>
          <w:tcPr>
            <w:tcW w:w="5812" w:type="dxa"/>
            <w:vAlign w:val="center"/>
          </w:tcPr>
          <w:p w14:paraId="004E3060">
            <w:pPr>
              <w:widowControl/>
              <w:shd w:val="clear" w:color="auto" w:fill="FFFFFF" w:themeFill="background1"/>
              <w:spacing w:line="360" w:lineRule="auto"/>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信息系统名称</w:t>
            </w:r>
          </w:p>
        </w:tc>
        <w:tc>
          <w:tcPr>
            <w:tcW w:w="1729" w:type="dxa"/>
            <w:vAlign w:val="center"/>
          </w:tcPr>
          <w:p w14:paraId="52A27D22">
            <w:pPr>
              <w:widowControl/>
              <w:shd w:val="clear" w:color="auto" w:fill="FFFFFF" w:themeFill="background1"/>
              <w:spacing w:line="360" w:lineRule="auto"/>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备案等级</w:t>
            </w:r>
          </w:p>
        </w:tc>
      </w:tr>
      <w:tr w14:paraId="13C26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59" w:type="dxa"/>
            <w:vAlign w:val="center"/>
          </w:tcPr>
          <w:p w14:paraId="37F1A960">
            <w:pPr>
              <w:widowControl/>
              <w:shd w:val="clear" w:color="auto" w:fill="FFFFFF" w:themeFill="background1"/>
              <w:spacing w:line="360" w:lineRule="auto"/>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p>
        </w:tc>
        <w:tc>
          <w:tcPr>
            <w:tcW w:w="5812" w:type="dxa"/>
            <w:vAlign w:val="center"/>
          </w:tcPr>
          <w:p w14:paraId="4CFB8996">
            <w:pPr>
              <w:widowControl/>
              <w:shd w:val="clear" w:color="auto" w:fill="FFFFFF" w:themeFill="background1"/>
              <w:spacing w:line="360" w:lineRule="auto"/>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江苏公共文化云</w:t>
            </w:r>
          </w:p>
        </w:tc>
        <w:tc>
          <w:tcPr>
            <w:tcW w:w="1729" w:type="dxa"/>
            <w:vAlign w:val="center"/>
          </w:tcPr>
          <w:p w14:paraId="68DA24CB">
            <w:pPr>
              <w:widowControl/>
              <w:shd w:val="clear" w:color="auto" w:fill="FFFFFF" w:themeFill="background1"/>
              <w:spacing w:line="360" w:lineRule="auto"/>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三</w:t>
            </w:r>
            <w:r>
              <w:rPr>
                <w:rFonts w:ascii="Times New Roman" w:hAnsi="Times New Roman" w:eastAsia="方正仿宋_GBK" w:cs="Times New Roman"/>
                <w:sz w:val="28"/>
                <w:szCs w:val="28"/>
              </w:rPr>
              <w:t>级</w:t>
            </w:r>
          </w:p>
        </w:tc>
      </w:tr>
    </w:tbl>
    <w:p w14:paraId="25467AE3">
      <w:pPr>
        <w:pStyle w:val="3"/>
        <w:numPr>
          <w:ilvl w:val="2"/>
          <w:numId w:val="0"/>
        </w:numPr>
        <w:snapToGrid w:val="0"/>
        <w:spacing w:line="300" w:lineRule="auto"/>
        <w:ind w:firstLine="560" w:firstLineChars="200"/>
        <w:rPr>
          <w:rFonts w:ascii="Times New Roman" w:hAnsi="Times New Roman" w:eastAsia="方正仿宋_GBK" w:cs="Times New Roman"/>
          <w:b w:val="0"/>
          <w:bCs w:val="0"/>
          <w:kern w:val="0"/>
          <w:szCs w:val="28"/>
        </w:rPr>
      </w:pPr>
      <w:r>
        <w:rPr>
          <w:rFonts w:ascii="Times New Roman" w:hAnsi="Times New Roman" w:eastAsia="方正仿宋_GBK" w:cs="Times New Roman"/>
          <w:b w:val="0"/>
          <w:bCs w:val="0"/>
          <w:kern w:val="0"/>
          <w:szCs w:val="28"/>
        </w:rPr>
        <w:t>1.2 测评工作实施</w:t>
      </w:r>
    </w:p>
    <w:p w14:paraId="1BE51149">
      <w:pPr>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依据GB/T39786-2021《信息安全技术信息系统密码应用基本要求》、GM/T 0115-2021《信息系统密码应用测评要求》、GM/T 0116-2021《信息系统密码应用测评过程指南》、《商用密码应用安全性评估测评作业指导书（试行）》，对</w:t>
      </w:r>
      <w:r>
        <w:rPr>
          <w:rFonts w:hint="eastAsia" w:ascii="Times New Roman" w:hAnsi="Times New Roman" w:eastAsia="方正仿宋_GBK" w:cs="Times New Roman"/>
          <w:kern w:val="0"/>
          <w:sz w:val="28"/>
          <w:szCs w:val="28"/>
        </w:rPr>
        <w:t>江苏公共文化云</w:t>
      </w:r>
      <w:r>
        <w:rPr>
          <w:rFonts w:ascii="Times New Roman" w:hAnsi="Times New Roman" w:eastAsia="方正仿宋_GBK" w:cs="Times New Roman"/>
          <w:kern w:val="0"/>
          <w:sz w:val="28"/>
          <w:szCs w:val="28"/>
        </w:rPr>
        <w:t>进行密码应用安全性评估。</w:t>
      </w:r>
    </w:p>
    <w:p w14:paraId="3DD4E78D">
      <w:pPr>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1.3具体测评内容</w:t>
      </w:r>
    </w:p>
    <w:p w14:paraId="2BC3D162">
      <w:pPr>
        <w:pStyle w:val="26"/>
        <w:rPr>
          <w:color w:val="auto"/>
        </w:rPr>
      </w:pPr>
      <w:r>
        <w:rPr>
          <w:color w:val="auto"/>
        </w:rPr>
        <w:t>A．</w:t>
      </w:r>
      <w:r>
        <w:rPr>
          <w:color w:val="auto"/>
          <w:lang w:val="ja-JP" w:eastAsia="ja-JP"/>
        </w:rPr>
        <w:t>密码技术应用测评</w:t>
      </w:r>
      <w:r>
        <w:rPr>
          <w:color w:val="auto"/>
        </w:rPr>
        <w:t>：主要包括物理安全密码测评、网络安全密码测评、主机安全密码测评、应用安全密码测评、数据安全及备份恢复密码测评。测评验证不同安全等级信息系统的商用密码应用是否达到具有相应安全等级的安全保护能力，是否满足相应安全等级的保护要求；</w:t>
      </w:r>
    </w:p>
    <w:p w14:paraId="1244692E">
      <w:pPr>
        <w:pStyle w:val="26"/>
        <w:rPr>
          <w:color w:val="auto"/>
        </w:rPr>
      </w:pPr>
      <w:r>
        <w:rPr>
          <w:color w:val="auto"/>
        </w:rPr>
        <w:t>B．</w:t>
      </w:r>
      <w:r>
        <w:rPr>
          <w:color w:val="auto"/>
          <w:lang w:val="ja-JP" w:eastAsia="ja-JP"/>
        </w:rPr>
        <w:t>密钥管理测评</w:t>
      </w:r>
      <w:r>
        <w:rPr>
          <w:color w:val="auto"/>
        </w:rPr>
        <w:t>：检测信息系统密钥管理各环节，包括对密钥的生成、存储、分发、导入、导出、使用、备份、恢复、归档与销毁等环节进行管理和策略制定的全过程是否符合要求；</w:t>
      </w:r>
    </w:p>
    <w:p w14:paraId="6583D59D">
      <w:pPr>
        <w:pStyle w:val="26"/>
        <w:rPr>
          <w:color w:val="auto"/>
          <w:lang w:val="ja-JP"/>
        </w:rPr>
      </w:pPr>
      <w:r>
        <w:rPr>
          <w:color w:val="auto"/>
        </w:rPr>
        <w:t>C、</w:t>
      </w:r>
      <w:r>
        <w:rPr>
          <w:color w:val="auto"/>
          <w:lang w:val="ja-JP" w:eastAsia="ja-JP"/>
        </w:rPr>
        <w:t>安全管理测评</w:t>
      </w:r>
      <w:r>
        <w:rPr>
          <w:rFonts w:hint="eastAsia"/>
          <w:color w:val="auto"/>
          <w:lang w:val="ja-JP"/>
        </w:rPr>
        <w:t>：对制度、人员、实施和应急等四个方面安全管理的测评，并指导采购人完善商用密码应用安全性管理制度以及和商用密码相关的系统运维管理制度；</w:t>
      </w:r>
    </w:p>
    <w:p w14:paraId="0DA6C1F4">
      <w:pPr>
        <w:pStyle w:val="26"/>
        <w:rPr>
          <w:color w:val="auto"/>
        </w:rPr>
      </w:pPr>
      <w:r>
        <w:rPr>
          <w:rFonts w:hint="eastAsia"/>
          <w:color w:val="auto"/>
        </w:rPr>
        <w:t>D、形成密码应用安全性评估相关报告：针对每个被评估系统编制密码应用安全性评估报告，报告按照国家密码管理局要求包含的内容编制或参考模板编制。协助被评估单位认清风险，查找漏洞，找出差距，提出有针对性地加强完善密码安全管理和防护建议，指导并督促采购人现场信息系统供应商按照要求改进进行整改落实。</w:t>
      </w:r>
    </w:p>
    <w:p w14:paraId="516B5FEB">
      <w:pPr>
        <w:ind w:firstLine="560" w:firstLineChars="200"/>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2、根据被评估单位商用密码应用需求，提供相关密码应用技术咨询支持服务。</w:t>
      </w:r>
    </w:p>
    <w:p w14:paraId="1F4B8FA4">
      <w:pPr>
        <w:pStyle w:val="25"/>
        <w:tabs>
          <w:tab w:val="left" w:pos="5325"/>
        </w:tabs>
        <w:snapToGrid w:val="0"/>
        <w:spacing w:before="156" w:beforeLines="50" w:after="156" w:afterLines="50"/>
        <w:ind w:firstLine="0" w:firstLineChars="0"/>
        <w:contextualSpacing/>
        <w:rPr>
          <w:rFonts w:ascii="黑体" w:hAnsi="黑体" w:eastAsia="黑体" w:cs="Times New Roman"/>
          <w:sz w:val="32"/>
          <w:szCs w:val="32"/>
        </w:rPr>
      </w:pPr>
      <w:r>
        <w:rPr>
          <w:rFonts w:ascii="黑体" w:hAnsi="黑体" w:eastAsia="黑体" w:cs="Times New Roman"/>
          <w:sz w:val="32"/>
          <w:szCs w:val="32"/>
        </w:rPr>
        <w:t>三、</w:t>
      </w:r>
      <w:r>
        <w:rPr>
          <w:rFonts w:hint="eastAsia" w:ascii="黑体" w:hAnsi="黑体" w:eastAsia="黑体" w:cs="Times New Roman"/>
          <w:sz w:val="32"/>
          <w:szCs w:val="32"/>
        </w:rPr>
        <w:t>测评服务</w:t>
      </w:r>
      <w:r>
        <w:rPr>
          <w:rFonts w:ascii="黑体" w:hAnsi="黑体" w:eastAsia="黑体" w:cs="Times New Roman"/>
          <w:sz w:val="32"/>
          <w:szCs w:val="32"/>
        </w:rPr>
        <w:t>要求</w:t>
      </w:r>
    </w:p>
    <w:p w14:paraId="30D2552E">
      <w:pPr>
        <w:snapToGrid w:val="0"/>
        <w:ind w:firstLine="560" w:firstLineChars="200"/>
        <w:contextualSpacing/>
        <w:jc w:val="lef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1</w:t>
      </w:r>
      <w:r>
        <w:rPr>
          <w:rFonts w:ascii="Times New Roman" w:hAnsi="Times New Roman" w:eastAsia="方正仿宋_GBK" w:cs="Times New Roman"/>
          <w:kern w:val="0"/>
          <w:sz w:val="28"/>
          <w:szCs w:val="28"/>
        </w:rPr>
        <w:t>、交付物：《</w:t>
      </w:r>
      <w:r>
        <w:rPr>
          <w:rFonts w:hint="eastAsia" w:ascii="Times New Roman" w:hAnsi="Times New Roman" w:eastAsia="方正仿宋_GBK" w:cs="Times New Roman"/>
          <w:kern w:val="0"/>
          <w:sz w:val="28"/>
          <w:szCs w:val="28"/>
          <w:lang w:val="en-US" w:eastAsia="zh-CN"/>
        </w:rPr>
        <w:t>江苏公共文化云商用</w:t>
      </w:r>
      <w:r>
        <w:rPr>
          <w:rFonts w:ascii="Times New Roman" w:hAnsi="Times New Roman" w:eastAsia="方正仿宋_GBK" w:cs="Times New Roman"/>
          <w:kern w:val="0"/>
          <w:sz w:val="28"/>
          <w:szCs w:val="28"/>
        </w:rPr>
        <w:t>密码应用安全性评估报告》</w:t>
      </w:r>
    </w:p>
    <w:p w14:paraId="101A8DF2">
      <w:pPr>
        <w:snapToGrid w:val="0"/>
        <w:ind w:firstLine="560" w:firstLineChars="200"/>
        <w:contextualSpacing/>
        <w:jc w:val="left"/>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2、</w:t>
      </w:r>
      <w:r>
        <w:rPr>
          <w:rFonts w:ascii="Times New Roman" w:hAnsi="Times New Roman" w:eastAsia="方正仿宋_GBK" w:cs="Times New Roman"/>
          <w:kern w:val="0"/>
          <w:sz w:val="28"/>
          <w:szCs w:val="28"/>
        </w:rPr>
        <w:t>人员要求：</w:t>
      </w:r>
    </w:p>
    <w:p w14:paraId="65C43449">
      <w:pPr>
        <w:snapToGrid w:val="0"/>
        <w:ind w:firstLine="560" w:firstLineChars="200"/>
        <w:contextualSpacing/>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项目负责人及测评技术人员应为本单位正式在职员工且均通过国家密码管理局组织的商用密码应用安全性评估人员测评能力考核，测评技术人员不得少于4人。供应商需提供测评能力考核成绩单并加盖公章。</w:t>
      </w:r>
    </w:p>
    <w:p w14:paraId="3316B747">
      <w:pPr>
        <w:pStyle w:val="26"/>
        <w:numPr>
          <w:ilvl w:val="0"/>
          <w:numId w:val="2"/>
        </w:numPr>
        <w:rPr>
          <w:color w:val="auto"/>
          <w:kern w:val="0"/>
          <w:lang w:val="zh-CN"/>
        </w:rPr>
      </w:pPr>
      <w:r>
        <w:rPr>
          <w:color w:val="auto"/>
          <w:kern w:val="0"/>
          <w:lang w:val="zh-CN"/>
        </w:rPr>
        <w:t>测评服务单位在测评过程中，需严格遵循保密原则，对服务过程中涉及到的任何用户信息未经允许不向其他任何第三方泄漏，以及不得利用这些信息损害采购方利益。</w:t>
      </w:r>
    </w:p>
    <w:p w14:paraId="5BC24347">
      <w:pPr>
        <w:pStyle w:val="26"/>
        <w:numPr>
          <w:ilvl w:val="0"/>
          <w:numId w:val="2"/>
        </w:numPr>
        <w:rPr>
          <w:color w:val="auto"/>
          <w:kern w:val="0"/>
          <w:lang w:val="zh-CN"/>
        </w:rPr>
      </w:pPr>
      <w:r>
        <w:rPr>
          <w:color w:val="auto"/>
          <w:kern w:val="0"/>
          <w:lang w:val="zh-CN"/>
        </w:rPr>
        <w:t>测评服务单位</w:t>
      </w:r>
      <w:r>
        <w:rPr>
          <w:rFonts w:hint="eastAsia"/>
          <w:color w:val="auto"/>
          <w:kern w:val="0"/>
          <w:lang w:val="en-US" w:eastAsia="zh-CN"/>
        </w:rPr>
        <w:t>需在3个月内完成测评，并出具报告。</w:t>
      </w:r>
    </w:p>
    <w:bookmarkEnd w:id="3"/>
    <w:p w14:paraId="57780A0B">
      <w:pPr>
        <w:widowControl/>
        <w:rPr>
          <w:rFonts w:ascii="Times New Roman" w:hAnsi="Times New Roman" w:eastAsia="黑体" w:cs="Times New Roman"/>
          <w:sz w:val="36"/>
          <w:szCs w:val="44"/>
          <w:lang w:val="zh-CN"/>
        </w:rPr>
      </w:pPr>
    </w:p>
    <w:p w14:paraId="3326219D">
      <w:pPr>
        <w:widowControl/>
        <w:rPr>
          <w:rFonts w:ascii="Times New Roman" w:hAnsi="Times New Roman" w:eastAsia="黑体" w:cs="Times New Roman"/>
          <w:sz w:val="32"/>
          <w:szCs w:val="44"/>
          <w:lang w:val="zh-CN"/>
        </w:rPr>
      </w:pPr>
      <w:r>
        <w:rPr>
          <w:rFonts w:hint="eastAsia" w:ascii="Times New Roman" w:hAnsi="Times New Roman" w:eastAsia="黑体" w:cs="Times New Roman"/>
          <w:sz w:val="32"/>
          <w:szCs w:val="44"/>
          <w:lang w:val="zh-CN"/>
        </w:rPr>
        <w:t>第二部分 响应文件组成</w:t>
      </w:r>
    </w:p>
    <w:p w14:paraId="58E440CD">
      <w:pPr>
        <w:snapToGrid w:val="0"/>
        <w:spacing w:line="560" w:lineRule="exact"/>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一、响应文件由资格审查文件、商务技术响应文件、价格响应文件三部分组成。</w:t>
      </w:r>
    </w:p>
    <w:p w14:paraId="4796DE3A">
      <w:pPr>
        <w:snapToGrid w:val="0"/>
        <w:spacing w:line="560" w:lineRule="exact"/>
        <w:ind w:firstLine="562"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（一）资格审查文件（不得出现报价，一正两副，单独密封装订）</w:t>
      </w:r>
    </w:p>
    <w:p w14:paraId="01D8242D">
      <w:pPr>
        <w:pStyle w:val="26"/>
        <w:rPr>
          <w:color w:val="auto"/>
          <w:lang w:val="zh-CN"/>
        </w:rPr>
      </w:pPr>
      <w:r>
        <w:rPr>
          <w:rFonts w:hint="eastAsia"/>
          <w:color w:val="auto"/>
          <w:lang w:val="zh-CN"/>
        </w:rPr>
        <w:t>1、法定代表人参加投标的，提供法定代表人身份证复印件（加盖公章）；授权委托人参加投标的，提供法定代表人授权委托书、法定代表人和授权委托人身份证复印件（加盖公章）；</w:t>
      </w:r>
    </w:p>
    <w:p w14:paraId="5BF0824D">
      <w:pPr>
        <w:pStyle w:val="25"/>
        <w:autoSpaceDE w:val="0"/>
        <w:autoSpaceDN w:val="0"/>
        <w:adjustRightInd w:val="0"/>
        <w:snapToGrid w:val="0"/>
        <w:spacing w:line="560" w:lineRule="exact"/>
        <w:ind w:firstLine="560"/>
        <w:contextualSpacing/>
        <w:jc w:val="left"/>
        <w:rPr>
          <w:rFonts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zh-CN"/>
        </w:rPr>
        <w:t>营业执照复印件（加盖公章）；</w:t>
      </w:r>
    </w:p>
    <w:p w14:paraId="34C3A768">
      <w:pPr>
        <w:pStyle w:val="25"/>
        <w:autoSpaceDE w:val="0"/>
        <w:autoSpaceDN w:val="0"/>
        <w:adjustRightInd w:val="0"/>
        <w:snapToGrid w:val="0"/>
        <w:spacing w:line="560" w:lineRule="exact"/>
        <w:ind w:firstLine="560"/>
        <w:contextualSpacing/>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3、信用中国信用信息报告</w:t>
      </w:r>
      <w:r>
        <w:rPr>
          <w:rFonts w:hint="eastAsia" w:ascii="Times New Roman" w:hAnsi="Times New Roman" w:eastAsia="方正仿宋_GBK" w:cs="Times New Roman"/>
          <w:sz w:val="28"/>
          <w:szCs w:val="28"/>
          <w:lang w:val="zh-CN"/>
        </w:rPr>
        <w:t>（加盖公章）；</w:t>
      </w:r>
    </w:p>
    <w:p w14:paraId="50FA0CAF">
      <w:pPr>
        <w:pStyle w:val="26"/>
        <w:rPr>
          <w:color w:val="auto"/>
        </w:rPr>
      </w:pPr>
      <w:r>
        <w:rPr>
          <w:rFonts w:hint="eastAsia"/>
          <w:color w:val="auto"/>
        </w:rPr>
        <w:t>4、供应商须为国家密码管理局《商用密码应用安全性评估试点机构目录》内的单位，提供在目录内的证明材料并加盖公章；</w:t>
      </w:r>
    </w:p>
    <w:p w14:paraId="6852E70C">
      <w:pPr>
        <w:pStyle w:val="26"/>
        <w:rPr>
          <w:rFonts w:hint="eastAsia"/>
          <w:color w:val="auto"/>
          <w:lang w:val="zh-CN"/>
        </w:rPr>
      </w:pPr>
      <w:r>
        <w:rPr>
          <w:rFonts w:hint="eastAsia"/>
          <w:color w:val="auto"/>
        </w:rPr>
        <w:t>5、</w:t>
      </w:r>
      <w:r>
        <w:rPr>
          <w:rFonts w:hint="eastAsia"/>
          <w:color w:val="auto"/>
          <w:lang w:val="zh-CN"/>
        </w:rPr>
        <w:t>投标承诺函（</w:t>
      </w:r>
      <w:r>
        <w:rPr>
          <w:rFonts w:hint="eastAsia"/>
          <w:color w:val="auto"/>
        </w:rPr>
        <w:t>见附件一</w:t>
      </w:r>
      <w:r>
        <w:rPr>
          <w:rFonts w:hint="eastAsia"/>
          <w:color w:val="auto"/>
          <w:lang w:val="zh-CN"/>
        </w:rPr>
        <w:t>）；</w:t>
      </w:r>
    </w:p>
    <w:p w14:paraId="4F76B2FE">
      <w:pPr>
        <w:snapToGrid w:val="0"/>
        <w:spacing w:line="560" w:lineRule="exact"/>
        <w:ind w:firstLine="562"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（二）商务技术响应文件（不得出现报价，一正两副，单独密封装订）</w:t>
      </w:r>
    </w:p>
    <w:p w14:paraId="17BD88E0">
      <w:pPr>
        <w:pStyle w:val="26"/>
        <w:rPr>
          <w:color w:val="auto"/>
          <w:lang w:val="zh-CN"/>
        </w:rPr>
      </w:pPr>
      <w:r>
        <w:rPr>
          <w:rFonts w:hint="eastAsia"/>
          <w:color w:val="auto"/>
        </w:rPr>
        <w:t>1、评标办法中所涉及的事项需提供的所有资料；</w:t>
      </w:r>
      <w:r>
        <w:rPr>
          <w:rFonts w:hint="eastAsia"/>
          <w:color w:val="auto"/>
          <w:lang w:val="zh-CN"/>
        </w:rPr>
        <w:t>为方便评委评审，请供应商按评标办法中所涉及的事项顺序进行编制，可以补充相关材料；</w:t>
      </w:r>
    </w:p>
    <w:p w14:paraId="5D38C19B">
      <w:pPr>
        <w:snapToGrid w:val="0"/>
        <w:spacing w:line="560" w:lineRule="exact"/>
        <w:ind w:firstLine="560" w:firstLineChars="200"/>
        <w:rPr>
          <w:rFonts w:ascii="Times New Roman" w:hAnsi="Times New Roman" w:eastAsia="方正仿宋_GBK" w:cs="Times New Roman"/>
          <w:sz w:val="28"/>
          <w:szCs w:val="28"/>
          <w:lang w:val="zh-CN"/>
        </w:rPr>
      </w:pPr>
      <w:r>
        <w:rPr>
          <w:rFonts w:hint="eastAsia"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zh-CN"/>
        </w:rPr>
        <w:t>、评标办法中未涉及的事项，供应商认为需要提交的其他资料。</w:t>
      </w:r>
    </w:p>
    <w:p w14:paraId="6568350B">
      <w:pPr>
        <w:snapToGrid w:val="0"/>
        <w:spacing w:line="560" w:lineRule="exact"/>
        <w:ind w:firstLine="562" w:firstLineChars="200"/>
        <w:contextualSpacing/>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（三）价格响应文件（单本单独密封装订）</w:t>
      </w:r>
    </w:p>
    <w:p w14:paraId="3093B407">
      <w:pPr>
        <w:snapToGrid w:val="0"/>
        <w:spacing w:line="560" w:lineRule="exact"/>
        <w:ind w:firstLine="56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w:t>
      </w:r>
      <w:r>
        <w:rPr>
          <w:rFonts w:hint="eastAsia" w:ascii="Times New Roman" w:hAnsi="Times New Roman" w:eastAsia="方正仿宋_GBK" w:cs="Times New Roman"/>
          <w:sz w:val="28"/>
          <w:szCs w:val="28"/>
          <w:lang w:val="zh-CN"/>
        </w:rPr>
        <w:t>、</w:t>
      </w:r>
      <w:r>
        <w:rPr>
          <w:rFonts w:hint="eastAsia" w:ascii="Times New Roman" w:hAnsi="Times New Roman" w:eastAsia="方正仿宋_GBK" w:cs="Times New Roman"/>
          <w:sz w:val="28"/>
          <w:szCs w:val="28"/>
        </w:rPr>
        <w:t>投标响应报价表（</w:t>
      </w:r>
      <w:r>
        <w:rPr>
          <w:rFonts w:hint="eastAsia" w:ascii="Times New Roman" w:hAnsi="Times New Roman" w:eastAsia="方正仿宋_GBK" w:cs="Times New Roman"/>
          <w:sz w:val="28"/>
          <w:szCs w:val="28"/>
          <w:lang w:val="en-US" w:eastAsia="zh-CN"/>
        </w:rPr>
        <w:t>见附件2</w:t>
      </w:r>
      <w:r>
        <w:rPr>
          <w:rFonts w:hint="eastAsia" w:ascii="Times New Roman" w:hAnsi="Times New Roman" w:eastAsia="方正仿宋_GBK" w:cs="Times New Roman"/>
          <w:sz w:val="28"/>
          <w:szCs w:val="28"/>
        </w:rPr>
        <w:t>）；</w:t>
      </w:r>
    </w:p>
    <w:p w14:paraId="6F67B21A">
      <w:pPr>
        <w:pStyle w:val="2"/>
        <w:rPr>
          <w:rFonts w:hint="eastAsia"/>
        </w:rPr>
      </w:pPr>
    </w:p>
    <w:p w14:paraId="2D6E2BE3">
      <w:pPr>
        <w:widowControl/>
        <w:rPr>
          <w:rFonts w:ascii="Times New Roman" w:hAnsi="Times New Roman" w:eastAsia="黑体" w:cs="Times New Roman"/>
          <w:sz w:val="32"/>
          <w:szCs w:val="44"/>
          <w:lang w:val="zh-CN"/>
        </w:rPr>
      </w:pPr>
      <w:r>
        <w:rPr>
          <w:rFonts w:hint="eastAsia" w:ascii="Times New Roman" w:hAnsi="Times New Roman" w:eastAsia="黑体" w:cs="Times New Roman"/>
          <w:sz w:val="32"/>
          <w:szCs w:val="44"/>
          <w:lang w:val="zh-CN"/>
        </w:rPr>
        <w:t>第三部分 评分方法</w:t>
      </w:r>
    </w:p>
    <w:p w14:paraId="769677E8">
      <w:pPr>
        <w:pStyle w:val="15"/>
      </w:pPr>
      <w:r>
        <w:rPr>
          <w:rFonts w:hint="eastAsia"/>
        </w:rPr>
        <w:t>一、评分标准</w:t>
      </w:r>
    </w:p>
    <w:p w14:paraId="0582F453">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采用综合评分法，</w:t>
      </w:r>
      <w:r>
        <w:rPr>
          <w:rFonts w:hint="eastAsia" w:ascii="方正仿宋_GBK" w:hAnsi="方正仿宋_GBK" w:eastAsia="方正仿宋_GBK" w:cs="方正仿宋_GBK"/>
          <w:sz w:val="28"/>
          <w:szCs w:val="28"/>
          <w:lang w:val="zh-CN"/>
        </w:rPr>
        <w:t>按照供应商</w:t>
      </w:r>
      <w:r>
        <w:rPr>
          <w:rFonts w:hint="eastAsia" w:ascii="方正仿宋_GBK" w:hAnsi="方正仿宋_GBK" w:eastAsia="方正仿宋_GBK" w:cs="方正仿宋_GBK"/>
          <w:sz w:val="28"/>
          <w:szCs w:val="28"/>
        </w:rPr>
        <w:t>提交的响应文件和最后报价进行综合评分。最终得分最高的为第一成交候选人，在分数相同的情况下由采购人代表现场抽签确定成交候选人，若第一成交候选人弃标的，由第二成交候选人成交，依次类推。</w:t>
      </w:r>
    </w:p>
    <w:p w14:paraId="2BE67CFC">
      <w:pPr>
        <w:snapToGrid w:val="0"/>
        <w:spacing w:line="560" w:lineRule="exact"/>
        <w:contextualSpacing/>
        <w:jc w:val="left"/>
        <w:rPr>
          <w:rFonts w:ascii="方正仿宋_GBK" w:hAnsi="方正仿宋_GBK" w:eastAsia="方正仿宋_GBK" w:cs="方正仿宋_GBK"/>
          <w:sz w:val="28"/>
          <w:szCs w:val="28"/>
        </w:rPr>
      </w:pPr>
    </w:p>
    <w:tbl>
      <w:tblPr>
        <w:tblStyle w:val="16"/>
        <w:tblW w:w="9339"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441"/>
        <w:gridCol w:w="6355"/>
        <w:gridCol w:w="824"/>
      </w:tblGrid>
      <w:tr w14:paraId="187B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blHeader/>
        </w:trPr>
        <w:tc>
          <w:tcPr>
            <w:tcW w:w="719" w:type="dxa"/>
            <w:shd w:val="clear" w:color="auto" w:fill="D7D7D7"/>
            <w:vAlign w:val="bottom"/>
          </w:tcPr>
          <w:p w14:paraId="230DC974">
            <w:pPr>
              <w:widowControl/>
              <w:spacing w:line="440" w:lineRule="exact"/>
              <w:jc w:val="center"/>
              <w:textAlignment w:val="bottom"/>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序号</w:t>
            </w:r>
          </w:p>
        </w:tc>
        <w:tc>
          <w:tcPr>
            <w:tcW w:w="1441" w:type="dxa"/>
            <w:shd w:val="clear" w:color="auto" w:fill="D7D7D7"/>
            <w:vAlign w:val="bottom"/>
          </w:tcPr>
          <w:p w14:paraId="62F6331E">
            <w:pPr>
              <w:widowControl/>
              <w:spacing w:line="440" w:lineRule="exact"/>
              <w:jc w:val="center"/>
              <w:textAlignment w:val="bottom"/>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评审因素</w:t>
            </w:r>
          </w:p>
        </w:tc>
        <w:tc>
          <w:tcPr>
            <w:tcW w:w="6355" w:type="dxa"/>
            <w:shd w:val="clear" w:color="auto" w:fill="D7D7D7"/>
            <w:vAlign w:val="bottom"/>
          </w:tcPr>
          <w:p w14:paraId="1A13E6C9">
            <w:pPr>
              <w:widowControl/>
              <w:spacing w:line="440" w:lineRule="exact"/>
              <w:jc w:val="center"/>
              <w:textAlignment w:val="bottom"/>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评审细则</w:t>
            </w:r>
          </w:p>
        </w:tc>
        <w:tc>
          <w:tcPr>
            <w:tcW w:w="824" w:type="dxa"/>
            <w:shd w:val="clear" w:color="auto" w:fill="D7D7D7"/>
            <w:vAlign w:val="bottom"/>
          </w:tcPr>
          <w:p w14:paraId="08895B2E">
            <w:pPr>
              <w:widowControl/>
              <w:spacing w:line="440" w:lineRule="exact"/>
              <w:jc w:val="center"/>
              <w:textAlignment w:val="bottom"/>
              <w:rPr>
                <w:rFonts w:hint="eastAsia" w:ascii="方正仿宋_GBK" w:hAnsi="宋体" w:eastAsia="方正仿宋_GBK" w:cs="宋体"/>
                <w:b/>
                <w:bCs/>
                <w:color w:val="000000"/>
                <w:sz w:val="24"/>
                <w:szCs w:val="24"/>
              </w:rPr>
            </w:pPr>
            <w:r>
              <w:rPr>
                <w:rFonts w:hint="eastAsia" w:ascii="方正仿宋_GBK" w:hAnsi="宋体" w:eastAsia="方正仿宋_GBK" w:cs="宋体"/>
                <w:b/>
                <w:bCs/>
                <w:color w:val="000000"/>
                <w:kern w:val="0"/>
                <w:sz w:val="24"/>
                <w:szCs w:val="24"/>
                <w:lang w:bidi="ar"/>
              </w:rPr>
              <w:t>分值</w:t>
            </w:r>
          </w:p>
        </w:tc>
      </w:tr>
      <w:tr w14:paraId="66C2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339" w:type="dxa"/>
            <w:gridSpan w:val="4"/>
            <w:vAlign w:val="bottom"/>
          </w:tcPr>
          <w:p w14:paraId="5A28B55A">
            <w:pPr>
              <w:widowControl/>
              <w:spacing w:line="440" w:lineRule="exact"/>
              <w:textAlignment w:val="bottom"/>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1.</w:t>
            </w:r>
            <w:r>
              <w:rPr>
                <w:rFonts w:hint="eastAsia" w:ascii="方正仿宋_GBK" w:hAnsi="宋体" w:eastAsia="方正仿宋_GBK" w:cs="宋体"/>
                <w:color w:val="000000"/>
                <w:kern w:val="0"/>
                <w:sz w:val="24"/>
                <w:szCs w:val="24"/>
                <w:lang w:bidi="ar"/>
              </w:rPr>
              <w:t>价格（</w:t>
            </w:r>
            <w:r>
              <w:rPr>
                <w:rFonts w:hint="eastAsia" w:ascii="方正仿宋_GBK" w:eastAsia="方正仿宋_GBK"/>
                <w:color w:val="000000"/>
                <w:kern w:val="0"/>
                <w:sz w:val="24"/>
                <w:szCs w:val="24"/>
                <w:lang w:bidi="ar"/>
              </w:rPr>
              <w:t>10</w:t>
            </w:r>
            <w:r>
              <w:rPr>
                <w:rFonts w:hint="eastAsia" w:ascii="方正仿宋_GBK" w:hAnsi="宋体" w:eastAsia="方正仿宋_GBK" w:cs="宋体"/>
                <w:color w:val="000000"/>
                <w:kern w:val="0"/>
                <w:sz w:val="24"/>
                <w:szCs w:val="24"/>
                <w:lang w:bidi="ar"/>
              </w:rPr>
              <w:t>分）</w:t>
            </w:r>
          </w:p>
        </w:tc>
      </w:tr>
      <w:tr w14:paraId="78BEB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3F13742F">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1.1</w:t>
            </w:r>
          </w:p>
        </w:tc>
        <w:tc>
          <w:tcPr>
            <w:tcW w:w="1441" w:type="dxa"/>
            <w:vMerge w:val="restart"/>
            <w:vAlign w:val="center"/>
          </w:tcPr>
          <w:p w14:paraId="685D0038">
            <w:pPr>
              <w:widowControl/>
              <w:spacing w:line="44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价格</w:t>
            </w:r>
            <w:r>
              <w:rPr>
                <w:rFonts w:hint="eastAsia" w:ascii="方正仿宋_GBK" w:hAnsi="宋体" w:eastAsia="方正仿宋_GBK" w:cs="宋体"/>
                <w:color w:val="000000"/>
                <w:kern w:val="0"/>
                <w:sz w:val="24"/>
                <w:szCs w:val="24"/>
                <w:lang w:bidi="ar"/>
              </w:rPr>
              <w:br w:type="textWrapping"/>
            </w:r>
            <w:r>
              <w:rPr>
                <w:rFonts w:hint="eastAsia" w:ascii="方正仿宋_GBK" w:hAnsi="宋体" w:eastAsia="方正仿宋_GBK" w:cs="宋体"/>
                <w:color w:val="000000"/>
                <w:kern w:val="0"/>
                <w:sz w:val="24"/>
                <w:szCs w:val="24"/>
                <w:lang w:bidi="ar"/>
              </w:rPr>
              <w:t>（10分）</w:t>
            </w:r>
          </w:p>
        </w:tc>
        <w:tc>
          <w:tcPr>
            <w:tcW w:w="6355" w:type="dxa"/>
            <w:vMerge w:val="restart"/>
            <w:vAlign w:val="bottom"/>
          </w:tcPr>
          <w:p w14:paraId="613EE0A6">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采用低价优先法计算，即满足采购文件要求且投标价格最低的投标报价为评标基准价，其价格分为满分。其他供应商的价格分统一按照下列公式计算：投标报价得分=(评标基准价/投标报价)×10</w:t>
            </w:r>
          </w:p>
        </w:tc>
        <w:tc>
          <w:tcPr>
            <w:tcW w:w="824" w:type="dxa"/>
            <w:vMerge w:val="restart"/>
            <w:vAlign w:val="center"/>
          </w:tcPr>
          <w:p w14:paraId="443D24EF">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10</w:t>
            </w:r>
          </w:p>
        </w:tc>
      </w:tr>
      <w:tr w14:paraId="4B3A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19" w:type="dxa"/>
            <w:vMerge w:val="continue"/>
            <w:vAlign w:val="center"/>
          </w:tcPr>
          <w:p w14:paraId="4851F52E">
            <w:pPr>
              <w:spacing w:line="440" w:lineRule="exact"/>
              <w:jc w:val="center"/>
              <w:rPr>
                <w:rFonts w:hint="eastAsia" w:ascii="方正仿宋_GBK" w:eastAsia="方正仿宋_GBK"/>
                <w:color w:val="000000"/>
                <w:sz w:val="24"/>
                <w:szCs w:val="24"/>
              </w:rPr>
            </w:pPr>
          </w:p>
        </w:tc>
        <w:tc>
          <w:tcPr>
            <w:tcW w:w="1441" w:type="dxa"/>
            <w:vMerge w:val="continue"/>
            <w:vAlign w:val="center"/>
          </w:tcPr>
          <w:p w14:paraId="0B37C39A">
            <w:pPr>
              <w:spacing w:line="440" w:lineRule="exact"/>
              <w:jc w:val="center"/>
              <w:rPr>
                <w:rFonts w:hint="eastAsia" w:ascii="方正仿宋_GBK" w:hAnsi="宋体" w:eastAsia="方正仿宋_GBK" w:cs="宋体"/>
                <w:color w:val="000000"/>
                <w:sz w:val="24"/>
                <w:szCs w:val="24"/>
              </w:rPr>
            </w:pPr>
          </w:p>
        </w:tc>
        <w:tc>
          <w:tcPr>
            <w:tcW w:w="6355" w:type="dxa"/>
            <w:vMerge w:val="continue"/>
            <w:vAlign w:val="bottom"/>
          </w:tcPr>
          <w:p w14:paraId="75578EE8">
            <w:pPr>
              <w:spacing w:line="440" w:lineRule="exact"/>
              <w:rPr>
                <w:rFonts w:hint="eastAsia" w:ascii="方正仿宋_GBK" w:hAnsi="宋体" w:eastAsia="方正仿宋_GBK" w:cs="宋体"/>
                <w:color w:val="000000"/>
                <w:sz w:val="24"/>
                <w:szCs w:val="24"/>
              </w:rPr>
            </w:pPr>
          </w:p>
        </w:tc>
        <w:tc>
          <w:tcPr>
            <w:tcW w:w="824" w:type="dxa"/>
            <w:vMerge w:val="continue"/>
            <w:vAlign w:val="center"/>
          </w:tcPr>
          <w:p w14:paraId="3B1261AD">
            <w:pPr>
              <w:spacing w:line="440" w:lineRule="exact"/>
              <w:jc w:val="center"/>
              <w:rPr>
                <w:rFonts w:hint="eastAsia" w:ascii="方正仿宋_GBK" w:eastAsia="方正仿宋_GBK"/>
                <w:color w:val="000000"/>
                <w:sz w:val="24"/>
                <w:szCs w:val="24"/>
              </w:rPr>
            </w:pPr>
          </w:p>
        </w:tc>
      </w:tr>
      <w:tr w14:paraId="63525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339" w:type="dxa"/>
            <w:gridSpan w:val="4"/>
            <w:vAlign w:val="bottom"/>
          </w:tcPr>
          <w:p w14:paraId="0CF9B99C">
            <w:pPr>
              <w:widowControl/>
              <w:spacing w:line="440" w:lineRule="exact"/>
              <w:textAlignment w:val="bottom"/>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2.</w:t>
            </w:r>
            <w:r>
              <w:rPr>
                <w:rFonts w:hint="eastAsia" w:ascii="方正仿宋_GBK" w:hAnsi="宋体" w:eastAsia="方正仿宋_GBK" w:cs="宋体"/>
                <w:color w:val="000000"/>
                <w:kern w:val="0"/>
                <w:sz w:val="24"/>
                <w:szCs w:val="24"/>
                <w:lang w:bidi="ar"/>
              </w:rPr>
              <w:t>商务（</w:t>
            </w:r>
            <w:r>
              <w:rPr>
                <w:rFonts w:hint="eastAsia" w:ascii="方正仿宋_GBK" w:eastAsia="方正仿宋_GBK"/>
                <w:color w:val="000000"/>
                <w:kern w:val="0"/>
                <w:sz w:val="24"/>
                <w:szCs w:val="24"/>
                <w:lang w:bidi="ar"/>
              </w:rPr>
              <w:t>30</w:t>
            </w:r>
            <w:r>
              <w:rPr>
                <w:rFonts w:hint="eastAsia" w:ascii="方正仿宋_GBK" w:hAnsi="宋体" w:eastAsia="方正仿宋_GBK" w:cs="宋体"/>
                <w:color w:val="000000"/>
                <w:kern w:val="0"/>
                <w:sz w:val="24"/>
                <w:szCs w:val="24"/>
                <w:lang w:bidi="ar"/>
              </w:rPr>
              <w:t>分）</w:t>
            </w:r>
          </w:p>
        </w:tc>
      </w:tr>
      <w:tr w14:paraId="28D6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atLeast"/>
        </w:trPr>
        <w:tc>
          <w:tcPr>
            <w:tcW w:w="719" w:type="dxa"/>
            <w:vAlign w:val="center"/>
          </w:tcPr>
          <w:p w14:paraId="69D5258E">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2.1</w:t>
            </w:r>
          </w:p>
        </w:tc>
        <w:tc>
          <w:tcPr>
            <w:tcW w:w="1441" w:type="dxa"/>
            <w:tcBorders>
              <w:right w:val="single" w:color="auto" w:sz="4" w:space="0"/>
            </w:tcBorders>
            <w:vAlign w:val="center"/>
          </w:tcPr>
          <w:p w14:paraId="310EB831">
            <w:pPr>
              <w:widowControl/>
              <w:spacing w:line="44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履约能力（30分）</w:t>
            </w:r>
          </w:p>
        </w:tc>
        <w:tc>
          <w:tcPr>
            <w:tcW w:w="6355" w:type="dxa"/>
            <w:tcBorders>
              <w:top w:val="single" w:color="auto" w:sz="4" w:space="0"/>
              <w:left w:val="single" w:color="auto" w:sz="4" w:space="0"/>
              <w:bottom w:val="single" w:color="auto" w:sz="4" w:space="0"/>
              <w:right w:val="single" w:color="auto" w:sz="4" w:space="0"/>
            </w:tcBorders>
            <w:vAlign w:val="bottom"/>
          </w:tcPr>
          <w:p w14:paraId="1CBCF017">
            <w:pPr>
              <w:spacing w:line="440" w:lineRule="exact"/>
              <w:jc w:val="left"/>
              <w:rPr>
                <w:rFonts w:hint="eastAsia" w:ascii="方正仿宋_GBK" w:eastAsia="方正仿宋_GBK"/>
                <w:sz w:val="24"/>
                <w:szCs w:val="24"/>
              </w:rPr>
            </w:pPr>
            <w:r>
              <w:rPr>
                <w:rFonts w:hint="eastAsia" w:ascii="方正仿宋_GBK" w:eastAsia="方正仿宋_GBK"/>
                <w:sz w:val="24"/>
                <w:szCs w:val="24"/>
              </w:rPr>
              <w:t>（1）供应商具有</w:t>
            </w:r>
            <w:r>
              <w:rPr>
                <w:rFonts w:hint="eastAsia" w:ascii="方正仿宋_GBK" w:hAnsi="宋体" w:eastAsia="方正仿宋_GBK" w:cs="宋体"/>
                <w:color w:val="000000"/>
                <w:kern w:val="0"/>
                <w:sz w:val="24"/>
                <w:szCs w:val="24"/>
                <w:lang w:bidi="ar"/>
              </w:rPr>
              <w:t>有效期内的国家密码管理部门颁发的商用密码检测机构资质证书</w:t>
            </w:r>
            <w:r>
              <w:rPr>
                <w:rFonts w:hint="eastAsia" w:ascii="方正仿宋_GBK" w:eastAsia="方正仿宋_GBK"/>
                <w:sz w:val="24"/>
                <w:szCs w:val="24"/>
              </w:rPr>
              <w:t>，得5分。（提供证书复印件）</w:t>
            </w:r>
          </w:p>
          <w:p w14:paraId="1753765A">
            <w:pPr>
              <w:spacing w:line="440" w:lineRule="exact"/>
              <w:jc w:val="left"/>
              <w:rPr>
                <w:rFonts w:hint="eastAsia" w:ascii="方正仿宋_GBK" w:eastAsia="方正仿宋_GBK"/>
                <w:sz w:val="24"/>
                <w:szCs w:val="24"/>
              </w:rPr>
            </w:pPr>
            <w:r>
              <w:rPr>
                <w:rFonts w:hint="eastAsia" w:ascii="方正仿宋_GBK" w:eastAsia="方正仿宋_GBK"/>
                <w:sz w:val="24"/>
                <w:szCs w:val="24"/>
              </w:rPr>
              <w:t>（2）供应商具有有效期内的ISO9001质量管理体系认证证书（业务范围需明确包含：密码应用安全性评估和信息系统安全风险评估），得5分。（提供证书复印件）</w:t>
            </w:r>
          </w:p>
          <w:p w14:paraId="77F025EC">
            <w:pPr>
              <w:spacing w:line="440" w:lineRule="exact"/>
              <w:jc w:val="left"/>
              <w:rPr>
                <w:rFonts w:hint="eastAsia" w:ascii="方正仿宋_GBK" w:eastAsia="方正仿宋_GBK"/>
                <w:sz w:val="24"/>
                <w:szCs w:val="24"/>
              </w:rPr>
            </w:pPr>
            <w:r>
              <w:rPr>
                <w:rFonts w:hint="eastAsia" w:ascii="方正仿宋_GBK" w:eastAsia="方正仿宋_GBK"/>
                <w:sz w:val="24"/>
                <w:szCs w:val="24"/>
              </w:rPr>
              <w:t>（3）供应商具有国家级检验检测机构资质认定证书（CMA证书），得5分。（提供证书复印件）</w:t>
            </w:r>
          </w:p>
          <w:p w14:paraId="52EBB6A9">
            <w:pPr>
              <w:spacing w:line="440" w:lineRule="exact"/>
              <w:jc w:val="left"/>
              <w:rPr>
                <w:rFonts w:hint="eastAsia" w:ascii="方正仿宋_GBK" w:eastAsia="方正仿宋_GBK"/>
                <w:sz w:val="24"/>
                <w:szCs w:val="24"/>
              </w:rPr>
            </w:pPr>
            <w:r>
              <w:rPr>
                <w:rFonts w:hint="eastAsia" w:ascii="方正仿宋_GBK" w:eastAsia="方正仿宋_GBK"/>
                <w:sz w:val="24"/>
                <w:szCs w:val="24"/>
              </w:rPr>
              <w:t>（4）供应商具有中国合格评定认可委员会认可的检验机构和检测实验室资质（</w:t>
            </w:r>
            <w:r>
              <w:rPr>
                <w:rFonts w:hint="eastAsia" w:ascii="方正仿宋_GBK" w:hAnsi="宋体" w:eastAsia="方正仿宋_GBK" w:cs="宋体"/>
                <w:kern w:val="0"/>
                <w:sz w:val="24"/>
                <w:szCs w:val="24"/>
              </w:rPr>
              <w:t>检验能力范围需明确包含商用密码应用安全性评估和信息安全风险评估</w:t>
            </w:r>
            <w:r>
              <w:rPr>
                <w:rFonts w:hint="eastAsia" w:ascii="方正仿宋_GBK" w:eastAsia="方正仿宋_GBK"/>
                <w:sz w:val="24"/>
                <w:szCs w:val="24"/>
              </w:rPr>
              <w:t>），得5分。（提供证书复印件）</w:t>
            </w:r>
          </w:p>
          <w:p w14:paraId="37CB48D6">
            <w:pPr>
              <w:spacing w:line="440" w:lineRule="exact"/>
              <w:jc w:val="left"/>
              <w:rPr>
                <w:rFonts w:hint="eastAsia" w:ascii="方正仿宋_GBK" w:eastAsia="方正仿宋_GBK"/>
                <w:sz w:val="24"/>
                <w:szCs w:val="24"/>
              </w:rPr>
            </w:pPr>
            <w:r>
              <w:rPr>
                <w:rFonts w:hint="eastAsia" w:ascii="方正仿宋_GBK" w:eastAsia="方正仿宋_GBK"/>
                <w:sz w:val="24"/>
                <w:szCs w:val="24"/>
              </w:rPr>
              <w:t>（5）供应商参与起草过信息安全、密码领域的国家标准制订工作的，得5分。（该项需提供标准文件的封面和“前言”页面复印件并加盖公章，未提供不得分）</w:t>
            </w:r>
          </w:p>
          <w:p w14:paraId="0CB6129C">
            <w:pPr>
              <w:spacing w:line="440" w:lineRule="exact"/>
              <w:jc w:val="left"/>
              <w:rPr>
                <w:rFonts w:hint="eastAsia" w:ascii="方正仿宋_GBK" w:eastAsia="方正仿宋_GBK"/>
                <w:sz w:val="24"/>
                <w:szCs w:val="24"/>
              </w:rPr>
            </w:pPr>
            <w:r>
              <w:rPr>
                <w:rFonts w:hint="eastAsia" w:ascii="方正仿宋_GBK" w:eastAsia="方正仿宋_GBK"/>
                <w:sz w:val="24"/>
                <w:szCs w:val="24"/>
              </w:rPr>
              <w:t>（6）供应商提供服务所必需的合规的密码检测设备或工具，该设备或工具</w:t>
            </w:r>
            <w:r>
              <w:rPr>
                <w:rFonts w:hint="eastAsia" w:ascii="方正仿宋_GBK" w:hAnsi="宋体" w:eastAsia="方正仿宋_GBK" w:cs="宋体"/>
                <w:sz w:val="24"/>
                <w:szCs w:val="24"/>
              </w:rPr>
              <w:t>需经过国家密码局校准，并具有国家密码局商用密码检测中心颁发的《商用密码检测工具校准标识》</w:t>
            </w:r>
            <w:r>
              <w:rPr>
                <w:rFonts w:hint="eastAsia" w:ascii="方正仿宋_GBK" w:eastAsia="方正仿宋_GBK"/>
                <w:sz w:val="24"/>
                <w:szCs w:val="24"/>
              </w:rPr>
              <w:t>,得5分，否则不得分。（该项需提供自有证明和校准标识复印件并加盖公章，未提供不得分）</w:t>
            </w:r>
          </w:p>
        </w:tc>
        <w:tc>
          <w:tcPr>
            <w:tcW w:w="824" w:type="dxa"/>
            <w:tcBorders>
              <w:left w:val="single" w:color="auto" w:sz="4" w:space="0"/>
            </w:tcBorders>
            <w:vAlign w:val="center"/>
          </w:tcPr>
          <w:p w14:paraId="3FF4AE7B">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30</w:t>
            </w:r>
          </w:p>
        </w:tc>
      </w:tr>
      <w:tr w14:paraId="21D0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9339" w:type="dxa"/>
            <w:gridSpan w:val="4"/>
            <w:vAlign w:val="bottom"/>
          </w:tcPr>
          <w:p w14:paraId="49F6F2E0">
            <w:pPr>
              <w:widowControl/>
              <w:spacing w:line="440" w:lineRule="exact"/>
              <w:textAlignment w:val="bottom"/>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3.</w:t>
            </w:r>
            <w:r>
              <w:rPr>
                <w:rFonts w:hint="eastAsia" w:ascii="方正仿宋_GBK" w:hAnsi="宋体" w:eastAsia="方正仿宋_GBK" w:cs="宋体"/>
                <w:color w:val="000000"/>
                <w:kern w:val="0"/>
                <w:sz w:val="24"/>
                <w:szCs w:val="24"/>
                <w:lang w:bidi="ar"/>
              </w:rPr>
              <w:t>技术（</w:t>
            </w:r>
            <w:r>
              <w:rPr>
                <w:rFonts w:hint="eastAsia" w:ascii="方正仿宋_GBK" w:eastAsia="方正仿宋_GBK"/>
                <w:color w:val="000000"/>
                <w:kern w:val="0"/>
                <w:sz w:val="24"/>
                <w:szCs w:val="24"/>
                <w:lang w:bidi="ar"/>
              </w:rPr>
              <w:t>60</w:t>
            </w:r>
            <w:r>
              <w:rPr>
                <w:rFonts w:hint="eastAsia" w:ascii="方正仿宋_GBK" w:hAnsi="宋体" w:eastAsia="方正仿宋_GBK" w:cs="宋体"/>
                <w:color w:val="000000"/>
                <w:kern w:val="0"/>
                <w:sz w:val="24"/>
                <w:szCs w:val="24"/>
                <w:lang w:bidi="ar"/>
              </w:rPr>
              <w:t>分）</w:t>
            </w:r>
          </w:p>
        </w:tc>
      </w:tr>
      <w:tr w14:paraId="60A41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restart"/>
            <w:vAlign w:val="center"/>
          </w:tcPr>
          <w:p w14:paraId="4F621C29">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3.1</w:t>
            </w:r>
          </w:p>
        </w:tc>
        <w:tc>
          <w:tcPr>
            <w:tcW w:w="1441" w:type="dxa"/>
            <w:vMerge w:val="restart"/>
            <w:tcBorders>
              <w:right w:val="single" w:color="auto" w:sz="4" w:space="0"/>
            </w:tcBorders>
            <w:vAlign w:val="center"/>
          </w:tcPr>
          <w:p w14:paraId="01DF3FCB">
            <w:pPr>
              <w:widowControl/>
              <w:spacing w:line="44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实施方案（</w:t>
            </w:r>
            <w:r>
              <w:rPr>
                <w:rFonts w:hint="eastAsia" w:ascii="方正仿宋_GBK" w:eastAsia="方正仿宋_GBK"/>
                <w:color w:val="000000"/>
                <w:kern w:val="0"/>
                <w:sz w:val="24"/>
                <w:szCs w:val="24"/>
                <w:lang w:bidi="ar"/>
              </w:rPr>
              <w:t>10</w:t>
            </w:r>
            <w:r>
              <w:rPr>
                <w:rFonts w:hint="eastAsia" w:ascii="方正仿宋_GBK" w:hAnsi="宋体" w:eastAsia="方正仿宋_GBK" w:cs="宋体"/>
                <w:color w:val="000000"/>
                <w:kern w:val="0"/>
                <w:sz w:val="24"/>
                <w:szCs w:val="24"/>
                <w:lang w:bidi="ar"/>
              </w:rPr>
              <w:t>分）</w:t>
            </w:r>
          </w:p>
        </w:tc>
        <w:tc>
          <w:tcPr>
            <w:tcW w:w="6355" w:type="dxa"/>
            <w:tcBorders>
              <w:top w:val="single" w:color="auto" w:sz="4" w:space="0"/>
              <w:left w:val="single" w:color="auto" w:sz="4" w:space="0"/>
              <w:bottom w:val="nil"/>
              <w:right w:val="single" w:color="auto" w:sz="4" w:space="0"/>
            </w:tcBorders>
            <w:vAlign w:val="bottom"/>
          </w:tcPr>
          <w:p w14:paraId="6C9EFBA0">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根据供应商提供的测评实施方案的完整性和合理性进行评分；</w:t>
            </w:r>
          </w:p>
        </w:tc>
        <w:tc>
          <w:tcPr>
            <w:tcW w:w="824" w:type="dxa"/>
            <w:vMerge w:val="restart"/>
            <w:tcBorders>
              <w:left w:val="single" w:color="auto" w:sz="4" w:space="0"/>
            </w:tcBorders>
            <w:vAlign w:val="center"/>
          </w:tcPr>
          <w:p w14:paraId="2A2821C3">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10</w:t>
            </w:r>
          </w:p>
        </w:tc>
      </w:tr>
      <w:tr w14:paraId="1095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19" w:type="dxa"/>
            <w:vMerge w:val="continue"/>
            <w:vAlign w:val="center"/>
          </w:tcPr>
          <w:p w14:paraId="1139950A">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69176C15">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429A5E76">
            <w:pPr>
              <w:widowControl/>
              <w:spacing w:line="440" w:lineRule="exact"/>
              <w:textAlignment w:val="bottom"/>
              <w:rPr>
                <w:rFonts w:hint="eastAsia" w:ascii="方正仿宋_GBK" w:hAnsi="宋体" w:eastAsia="方正仿宋_GBK" w:cs="宋体"/>
                <w:color w:val="000000"/>
                <w:kern w:val="0"/>
                <w:sz w:val="24"/>
                <w:szCs w:val="24"/>
                <w:lang w:bidi="ar"/>
              </w:rPr>
            </w:pPr>
            <w:r>
              <w:rPr>
                <w:rFonts w:hint="eastAsia" w:ascii="方正仿宋_GBK" w:hAnsi="宋体" w:eastAsia="方正仿宋_GBK" w:cs="宋体"/>
                <w:color w:val="000000"/>
                <w:kern w:val="0"/>
                <w:sz w:val="24"/>
                <w:szCs w:val="24"/>
                <w:lang w:bidi="ar"/>
              </w:rPr>
              <w:t>方案合理，具备非常好的可行性得</w:t>
            </w:r>
            <w:r>
              <w:rPr>
                <w:rFonts w:hint="eastAsia" w:ascii="方正仿宋_GBK" w:eastAsia="方正仿宋_GBK"/>
                <w:color w:val="000000"/>
                <w:kern w:val="0"/>
                <w:sz w:val="24"/>
                <w:szCs w:val="24"/>
                <w:lang w:bidi="ar"/>
              </w:rPr>
              <w:t>10</w:t>
            </w:r>
            <w:r>
              <w:rPr>
                <w:rFonts w:hint="eastAsia" w:ascii="方正仿宋_GBK" w:hAnsi="宋体" w:eastAsia="方正仿宋_GBK" w:cs="宋体"/>
                <w:color w:val="000000"/>
                <w:kern w:val="0"/>
                <w:sz w:val="24"/>
                <w:szCs w:val="24"/>
                <w:lang w:bidi="ar"/>
              </w:rPr>
              <w:t>分；</w:t>
            </w:r>
          </w:p>
          <w:p w14:paraId="37269FDF">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方案一般，具备一般的可行性得</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p w14:paraId="5FD00108">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方案相关内容缺失，不具备可行性得</w:t>
            </w:r>
            <w:r>
              <w:rPr>
                <w:rFonts w:hint="eastAsia" w:ascii="方正仿宋_GBK" w:eastAsia="方正仿宋_GBK"/>
                <w:color w:val="000000"/>
                <w:kern w:val="0"/>
                <w:sz w:val="24"/>
                <w:szCs w:val="24"/>
                <w:lang w:bidi="ar"/>
              </w:rPr>
              <w:t>0</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49C473A3">
            <w:pPr>
              <w:spacing w:line="440" w:lineRule="exact"/>
              <w:jc w:val="center"/>
              <w:rPr>
                <w:rFonts w:hint="eastAsia" w:ascii="方正仿宋_GBK" w:eastAsia="方正仿宋_GBK"/>
                <w:color w:val="000000"/>
                <w:sz w:val="24"/>
                <w:szCs w:val="24"/>
              </w:rPr>
            </w:pPr>
          </w:p>
        </w:tc>
      </w:tr>
      <w:tr w14:paraId="10DA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restart"/>
            <w:tcBorders>
              <w:bottom w:val="nil"/>
            </w:tcBorders>
            <w:vAlign w:val="center"/>
          </w:tcPr>
          <w:p w14:paraId="3FED3068">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3.2</w:t>
            </w:r>
          </w:p>
        </w:tc>
        <w:tc>
          <w:tcPr>
            <w:tcW w:w="1441" w:type="dxa"/>
            <w:vMerge w:val="restart"/>
            <w:tcBorders>
              <w:bottom w:val="nil"/>
              <w:right w:val="single" w:color="auto" w:sz="4" w:space="0"/>
            </w:tcBorders>
            <w:vAlign w:val="center"/>
          </w:tcPr>
          <w:p w14:paraId="0966DF19">
            <w:pPr>
              <w:widowControl/>
              <w:spacing w:line="44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组织架构</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r>
              <w:rPr>
                <w:rFonts w:hint="eastAsia" w:ascii="方正仿宋_GBK" w:eastAsia="方正仿宋_GBK"/>
                <w:color w:val="000000"/>
                <w:kern w:val="0"/>
                <w:sz w:val="24"/>
                <w:szCs w:val="24"/>
                <w:lang w:bidi="ar"/>
              </w:rPr>
              <w:t>)</w:t>
            </w:r>
          </w:p>
        </w:tc>
        <w:tc>
          <w:tcPr>
            <w:tcW w:w="6355" w:type="dxa"/>
            <w:tcBorders>
              <w:top w:val="single" w:color="auto" w:sz="4" w:space="0"/>
              <w:left w:val="single" w:color="auto" w:sz="4" w:space="0"/>
              <w:bottom w:val="nil"/>
              <w:right w:val="single" w:color="auto" w:sz="4" w:space="0"/>
            </w:tcBorders>
            <w:vAlign w:val="bottom"/>
          </w:tcPr>
          <w:p w14:paraId="4A898957">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根据供应商提供的服务组织架构的完整性和合理性进行评分；</w:t>
            </w:r>
          </w:p>
        </w:tc>
        <w:tc>
          <w:tcPr>
            <w:tcW w:w="824" w:type="dxa"/>
            <w:vMerge w:val="restart"/>
            <w:tcBorders>
              <w:left w:val="single" w:color="auto" w:sz="4" w:space="0"/>
              <w:bottom w:val="nil"/>
            </w:tcBorders>
            <w:vAlign w:val="center"/>
          </w:tcPr>
          <w:p w14:paraId="19669E7B">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5</w:t>
            </w:r>
          </w:p>
        </w:tc>
      </w:tr>
      <w:tr w14:paraId="79285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tcBorders>
              <w:top w:val="nil"/>
            </w:tcBorders>
            <w:vAlign w:val="center"/>
          </w:tcPr>
          <w:p w14:paraId="2E43F4ED">
            <w:pPr>
              <w:spacing w:line="440" w:lineRule="exact"/>
              <w:jc w:val="center"/>
              <w:rPr>
                <w:rFonts w:hint="eastAsia" w:ascii="方正仿宋_GBK" w:eastAsia="方正仿宋_GBK"/>
                <w:color w:val="000000"/>
                <w:sz w:val="24"/>
                <w:szCs w:val="24"/>
              </w:rPr>
            </w:pPr>
          </w:p>
        </w:tc>
        <w:tc>
          <w:tcPr>
            <w:tcW w:w="1441" w:type="dxa"/>
            <w:vMerge w:val="continue"/>
            <w:tcBorders>
              <w:top w:val="nil"/>
              <w:right w:val="single" w:color="auto" w:sz="4" w:space="0"/>
            </w:tcBorders>
            <w:vAlign w:val="center"/>
          </w:tcPr>
          <w:p w14:paraId="0017EADD">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3099CDB1">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架构合理，具备非常好的可行性得</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824" w:type="dxa"/>
            <w:vMerge w:val="continue"/>
            <w:tcBorders>
              <w:top w:val="nil"/>
              <w:left w:val="single" w:color="auto" w:sz="4" w:space="0"/>
            </w:tcBorders>
            <w:vAlign w:val="center"/>
          </w:tcPr>
          <w:p w14:paraId="1774DBFE">
            <w:pPr>
              <w:spacing w:line="440" w:lineRule="exact"/>
              <w:jc w:val="center"/>
              <w:rPr>
                <w:rFonts w:hint="eastAsia" w:ascii="方正仿宋_GBK" w:eastAsia="方正仿宋_GBK"/>
                <w:color w:val="000000"/>
                <w:sz w:val="24"/>
                <w:szCs w:val="24"/>
              </w:rPr>
            </w:pPr>
          </w:p>
        </w:tc>
      </w:tr>
      <w:tr w14:paraId="2771E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1B3D7E73">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2128C930">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34BAEDE3">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架构一般，具备一般的可行性得</w:t>
            </w:r>
            <w:r>
              <w:rPr>
                <w:rFonts w:hint="eastAsia" w:ascii="方正仿宋_GBK" w:eastAsia="方正仿宋_GBK"/>
                <w:color w:val="000000"/>
                <w:kern w:val="0"/>
                <w:sz w:val="24"/>
                <w:szCs w:val="24"/>
                <w:lang w:bidi="ar"/>
              </w:rPr>
              <w:t>2</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0244E0D4">
            <w:pPr>
              <w:spacing w:line="440" w:lineRule="exact"/>
              <w:jc w:val="center"/>
              <w:rPr>
                <w:rFonts w:hint="eastAsia" w:ascii="方正仿宋_GBK" w:eastAsia="方正仿宋_GBK"/>
                <w:color w:val="000000"/>
                <w:sz w:val="24"/>
                <w:szCs w:val="24"/>
              </w:rPr>
            </w:pPr>
          </w:p>
        </w:tc>
      </w:tr>
      <w:tr w14:paraId="4937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573D37EB">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62971A4B">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59D8ACF9">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架构相关内容缺失，不具备可行性得</w:t>
            </w:r>
            <w:r>
              <w:rPr>
                <w:rFonts w:hint="eastAsia" w:ascii="方正仿宋_GBK" w:eastAsia="方正仿宋_GBK"/>
                <w:color w:val="000000"/>
                <w:kern w:val="0"/>
                <w:sz w:val="24"/>
                <w:szCs w:val="24"/>
                <w:lang w:bidi="ar"/>
              </w:rPr>
              <w:t>0</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6870C4B7">
            <w:pPr>
              <w:spacing w:line="440" w:lineRule="exact"/>
              <w:jc w:val="center"/>
              <w:rPr>
                <w:rFonts w:hint="eastAsia" w:ascii="方正仿宋_GBK" w:eastAsia="方正仿宋_GBK"/>
                <w:color w:val="000000"/>
                <w:sz w:val="24"/>
                <w:szCs w:val="24"/>
              </w:rPr>
            </w:pPr>
          </w:p>
        </w:tc>
      </w:tr>
      <w:tr w14:paraId="6AE2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restart"/>
            <w:vAlign w:val="center"/>
          </w:tcPr>
          <w:p w14:paraId="736D2A27">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3.3</w:t>
            </w:r>
          </w:p>
        </w:tc>
        <w:tc>
          <w:tcPr>
            <w:tcW w:w="1441" w:type="dxa"/>
            <w:vMerge w:val="restart"/>
            <w:tcBorders>
              <w:right w:val="single" w:color="auto" w:sz="4" w:space="0"/>
            </w:tcBorders>
            <w:vAlign w:val="center"/>
          </w:tcPr>
          <w:p w14:paraId="3DF70D68">
            <w:pPr>
              <w:widowControl/>
              <w:spacing w:line="44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测评进度（</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6355" w:type="dxa"/>
            <w:tcBorders>
              <w:top w:val="single" w:color="auto" w:sz="4" w:space="0"/>
              <w:left w:val="single" w:color="auto" w:sz="4" w:space="0"/>
              <w:bottom w:val="nil"/>
              <w:right w:val="single" w:color="auto" w:sz="4" w:space="0"/>
            </w:tcBorders>
            <w:vAlign w:val="bottom"/>
          </w:tcPr>
          <w:p w14:paraId="49CA36B5">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根据供应商提供的测评进度安排的完整性和合理性进行评分；</w:t>
            </w:r>
          </w:p>
        </w:tc>
        <w:tc>
          <w:tcPr>
            <w:tcW w:w="824" w:type="dxa"/>
            <w:vMerge w:val="restart"/>
            <w:tcBorders>
              <w:left w:val="single" w:color="auto" w:sz="4" w:space="0"/>
            </w:tcBorders>
            <w:vAlign w:val="center"/>
          </w:tcPr>
          <w:p w14:paraId="6DA1951E">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5</w:t>
            </w:r>
          </w:p>
        </w:tc>
      </w:tr>
      <w:tr w14:paraId="39FE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11F424E7">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5E387AD2">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37CCC060">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安排合理，具备非常好的可行性得</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44FD06E7">
            <w:pPr>
              <w:spacing w:line="440" w:lineRule="exact"/>
              <w:jc w:val="center"/>
              <w:rPr>
                <w:rFonts w:hint="eastAsia" w:ascii="方正仿宋_GBK" w:eastAsia="方正仿宋_GBK"/>
                <w:color w:val="000000"/>
                <w:sz w:val="24"/>
                <w:szCs w:val="24"/>
              </w:rPr>
            </w:pPr>
          </w:p>
        </w:tc>
      </w:tr>
      <w:tr w14:paraId="77F8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7BFB54AF">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73ECBEBF">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5C5EAB48">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安排一般，具备一般的可行性得</w:t>
            </w:r>
            <w:r>
              <w:rPr>
                <w:rFonts w:hint="eastAsia" w:ascii="方正仿宋_GBK" w:eastAsia="方正仿宋_GBK"/>
                <w:color w:val="000000"/>
                <w:kern w:val="0"/>
                <w:sz w:val="24"/>
                <w:szCs w:val="24"/>
                <w:lang w:bidi="ar"/>
              </w:rPr>
              <w:t>2</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36DDD9C6">
            <w:pPr>
              <w:spacing w:line="440" w:lineRule="exact"/>
              <w:jc w:val="center"/>
              <w:rPr>
                <w:rFonts w:hint="eastAsia" w:ascii="方正仿宋_GBK" w:eastAsia="方正仿宋_GBK"/>
                <w:color w:val="000000"/>
                <w:sz w:val="24"/>
                <w:szCs w:val="24"/>
              </w:rPr>
            </w:pPr>
          </w:p>
        </w:tc>
      </w:tr>
      <w:tr w14:paraId="6455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0DC7A8DB">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3FA5804C">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4B37B9ED">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安排相关内容缺失，不具备可行性得</w:t>
            </w:r>
            <w:r>
              <w:rPr>
                <w:rFonts w:hint="eastAsia" w:ascii="方正仿宋_GBK" w:eastAsia="方正仿宋_GBK"/>
                <w:color w:val="000000"/>
                <w:kern w:val="0"/>
                <w:sz w:val="24"/>
                <w:szCs w:val="24"/>
                <w:lang w:bidi="ar"/>
              </w:rPr>
              <w:t>0</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33E49C87">
            <w:pPr>
              <w:spacing w:line="440" w:lineRule="exact"/>
              <w:jc w:val="center"/>
              <w:rPr>
                <w:rFonts w:hint="eastAsia" w:ascii="方正仿宋_GBK" w:eastAsia="方正仿宋_GBK"/>
                <w:color w:val="000000"/>
                <w:sz w:val="24"/>
                <w:szCs w:val="24"/>
              </w:rPr>
            </w:pPr>
          </w:p>
        </w:tc>
      </w:tr>
      <w:tr w14:paraId="159B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restart"/>
            <w:vAlign w:val="center"/>
          </w:tcPr>
          <w:p w14:paraId="490C0D51">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3.4</w:t>
            </w:r>
          </w:p>
        </w:tc>
        <w:tc>
          <w:tcPr>
            <w:tcW w:w="1441" w:type="dxa"/>
            <w:vMerge w:val="restart"/>
            <w:tcBorders>
              <w:right w:val="single" w:color="auto" w:sz="4" w:space="0"/>
            </w:tcBorders>
            <w:vAlign w:val="center"/>
          </w:tcPr>
          <w:p w14:paraId="6E67B43D">
            <w:pPr>
              <w:widowControl/>
              <w:spacing w:line="44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培训方案</w:t>
            </w:r>
            <w:r>
              <w:rPr>
                <w:rFonts w:hint="eastAsia" w:ascii="方正仿宋_GBK" w:eastAsia="方正仿宋_GBK"/>
                <w:color w:val="000000"/>
                <w:kern w:val="0"/>
                <w:sz w:val="24"/>
                <w:szCs w:val="24"/>
                <w:lang w:bidi="ar"/>
              </w:rPr>
              <w:t xml:space="preserve"> （5</w:t>
            </w:r>
            <w:r>
              <w:rPr>
                <w:rFonts w:hint="eastAsia" w:ascii="方正仿宋_GBK" w:hAnsi="宋体" w:eastAsia="方正仿宋_GBK" w:cs="宋体"/>
                <w:color w:val="000000"/>
                <w:kern w:val="0"/>
                <w:sz w:val="24"/>
                <w:szCs w:val="24"/>
                <w:lang w:bidi="ar"/>
              </w:rPr>
              <w:t>分）</w:t>
            </w:r>
          </w:p>
        </w:tc>
        <w:tc>
          <w:tcPr>
            <w:tcW w:w="6355" w:type="dxa"/>
            <w:tcBorders>
              <w:top w:val="single" w:color="auto" w:sz="4" w:space="0"/>
              <w:left w:val="single" w:color="auto" w:sz="4" w:space="0"/>
              <w:bottom w:val="nil"/>
              <w:right w:val="single" w:color="auto" w:sz="4" w:space="0"/>
            </w:tcBorders>
            <w:vAlign w:val="bottom"/>
          </w:tcPr>
          <w:p w14:paraId="1B7A83DF">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根据供应商提供的培训方案进行评分；</w:t>
            </w:r>
          </w:p>
        </w:tc>
        <w:tc>
          <w:tcPr>
            <w:tcW w:w="824" w:type="dxa"/>
            <w:vMerge w:val="restart"/>
            <w:tcBorders>
              <w:left w:val="single" w:color="auto" w:sz="4" w:space="0"/>
            </w:tcBorders>
            <w:vAlign w:val="center"/>
          </w:tcPr>
          <w:p w14:paraId="4621B14B">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5</w:t>
            </w:r>
          </w:p>
        </w:tc>
      </w:tr>
      <w:tr w14:paraId="656C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03252B25">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43F4E3B0">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24CFA817">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方案合理，具备非常好的可行性得</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4D7039F8">
            <w:pPr>
              <w:spacing w:line="440" w:lineRule="exact"/>
              <w:jc w:val="center"/>
              <w:rPr>
                <w:rFonts w:hint="eastAsia" w:ascii="方正仿宋_GBK" w:eastAsia="方正仿宋_GBK"/>
                <w:color w:val="000000"/>
                <w:sz w:val="24"/>
                <w:szCs w:val="24"/>
              </w:rPr>
            </w:pPr>
          </w:p>
        </w:tc>
      </w:tr>
      <w:tr w14:paraId="4FCF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1838CC67">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5606499C">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4A42B65F">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方案一般，具备一般的可行性得</w:t>
            </w:r>
            <w:r>
              <w:rPr>
                <w:rFonts w:hint="eastAsia" w:ascii="方正仿宋_GBK" w:eastAsia="方正仿宋_GBK"/>
                <w:color w:val="000000"/>
                <w:kern w:val="0"/>
                <w:sz w:val="24"/>
                <w:szCs w:val="24"/>
                <w:lang w:bidi="ar"/>
              </w:rPr>
              <w:t>2</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7C5B2609">
            <w:pPr>
              <w:spacing w:line="440" w:lineRule="exact"/>
              <w:jc w:val="center"/>
              <w:rPr>
                <w:rFonts w:hint="eastAsia" w:ascii="方正仿宋_GBK" w:eastAsia="方正仿宋_GBK"/>
                <w:color w:val="000000"/>
                <w:sz w:val="24"/>
                <w:szCs w:val="24"/>
              </w:rPr>
            </w:pPr>
          </w:p>
        </w:tc>
      </w:tr>
      <w:tr w14:paraId="082E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19" w:type="dxa"/>
            <w:vMerge w:val="continue"/>
            <w:vAlign w:val="center"/>
          </w:tcPr>
          <w:p w14:paraId="59B4187F">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6D1C9A7F">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7D5FFC95">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方案相关内容缺失，不具备可行性得</w:t>
            </w:r>
            <w:r>
              <w:rPr>
                <w:rFonts w:hint="eastAsia" w:ascii="方正仿宋_GBK" w:eastAsia="方正仿宋_GBK"/>
                <w:color w:val="000000"/>
                <w:kern w:val="0"/>
                <w:sz w:val="24"/>
                <w:szCs w:val="24"/>
                <w:lang w:bidi="ar"/>
              </w:rPr>
              <w:t>0</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6669E978">
            <w:pPr>
              <w:spacing w:line="440" w:lineRule="exact"/>
              <w:jc w:val="center"/>
              <w:rPr>
                <w:rFonts w:hint="eastAsia" w:ascii="方正仿宋_GBK" w:eastAsia="方正仿宋_GBK"/>
                <w:color w:val="000000"/>
                <w:sz w:val="24"/>
                <w:szCs w:val="24"/>
              </w:rPr>
            </w:pPr>
          </w:p>
        </w:tc>
      </w:tr>
      <w:tr w14:paraId="592B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restart"/>
            <w:vAlign w:val="center"/>
          </w:tcPr>
          <w:p w14:paraId="7F90C724">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3.5</w:t>
            </w:r>
          </w:p>
        </w:tc>
        <w:tc>
          <w:tcPr>
            <w:tcW w:w="1441" w:type="dxa"/>
            <w:vMerge w:val="restart"/>
            <w:tcBorders>
              <w:right w:val="single" w:color="auto" w:sz="4" w:space="0"/>
            </w:tcBorders>
            <w:vAlign w:val="center"/>
          </w:tcPr>
          <w:p w14:paraId="7034A7E3">
            <w:pPr>
              <w:widowControl/>
              <w:spacing w:line="44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售后服务方案（</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6355" w:type="dxa"/>
            <w:tcBorders>
              <w:top w:val="single" w:color="auto" w:sz="4" w:space="0"/>
              <w:left w:val="single" w:color="auto" w:sz="4" w:space="0"/>
              <w:bottom w:val="nil"/>
              <w:right w:val="single" w:color="auto" w:sz="4" w:space="0"/>
            </w:tcBorders>
            <w:vAlign w:val="bottom"/>
          </w:tcPr>
          <w:p w14:paraId="2F199A64">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售后服务方案全面合理，服务流程及内容具体，响应时间迅速，服务人员齐备，得</w:t>
            </w:r>
            <w:r>
              <w:rPr>
                <w:rFonts w:hint="eastAsia" w:ascii="方正仿宋_GBK" w:eastAsia="方正仿宋_GBK"/>
                <w:color w:val="000000"/>
                <w:kern w:val="0"/>
                <w:sz w:val="24"/>
                <w:szCs w:val="24"/>
                <w:lang w:bidi="ar"/>
              </w:rPr>
              <w:t>5</w:t>
            </w:r>
            <w:r>
              <w:rPr>
                <w:rFonts w:hint="eastAsia" w:ascii="方正仿宋_GBK" w:hAnsi="宋体" w:eastAsia="方正仿宋_GBK" w:cs="宋体"/>
                <w:color w:val="000000"/>
                <w:kern w:val="0"/>
                <w:sz w:val="24"/>
                <w:szCs w:val="24"/>
                <w:lang w:bidi="ar"/>
              </w:rPr>
              <w:t>分。</w:t>
            </w:r>
          </w:p>
        </w:tc>
        <w:tc>
          <w:tcPr>
            <w:tcW w:w="824" w:type="dxa"/>
            <w:vMerge w:val="restart"/>
            <w:tcBorders>
              <w:left w:val="single" w:color="auto" w:sz="4" w:space="0"/>
            </w:tcBorders>
            <w:vAlign w:val="center"/>
          </w:tcPr>
          <w:p w14:paraId="0444A99A">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5</w:t>
            </w:r>
          </w:p>
        </w:tc>
      </w:tr>
      <w:tr w14:paraId="1272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continue"/>
            <w:vAlign w:val="center"/>
          </w:tcPr>
          <w:p w14:paraId="6679B23E">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65B7E9B6">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nil"/>
              <w:right w:val="single" w:color="auto" w:sz="4" w:space="0"/>
            </w:tcBorders>
            <w:vAlign w:val="bottom"/>
          </w:tcPr>
          <w:p w14:paraId="5B8DC840">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售后服务方案较全面，有基本服务流程及内容，响应时间较为迅速，服务人员匹配基本满足需求，得</w:t>
            </w:r>
            <w:r>
              <w:rPr>
                <w:rFonts w:hint="eastAsia" w:ascii="方正仿宋_GBK" w:eastAsia="方正仿宋_GBK"/>
                <w:color w:val="000000"/>
                <w:kern w:val="0"/>
                <w:sz w:val="24"/>
                <w:szCs w:val="24"/>
                <w:lang w:bidi="ar"/>
              </w:rPr>
              <w:t>2</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694836FC">
            <w:pPr>
              <w:spacing w:line="440" w:lineRule="exact"/>
              <w:jc w:val="center"/>
              <w:rPr>
                <w:rFonts w:hint="eastAsia" w:ascii="方正仿宋_GBK" w:eastAsia="方正仿宋_GBK"/>
                <w:color w:val="000000"/>
                <w:sz w:val="24"/>
                <w:szCs w:val="24"/>
              </w:rPr>
            </w:pPr>
          </w:p>
        </w:tc>
      </w:tr>
      <w:tr w14:paraId="3A8A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9" w:type="dxa"/>
            <w:vMerge w:val="continue"/>
            <w:vAlign w:val="center"/>
          </w:tcPr>
          <w:p w14:paraId="44DE454F">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1E15B1F5">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4158B7B4">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售后服务方案较片面，服务流程及内容空洞或欠缺，响应时间缓慢，服务人员匹配欠缺，得</w:t>
            </w:r>
            <w:r>
              <w:rPr>
                <w:rFonts w:hint="eastAsia" w:ascii="方正仿宋_GBK" w:eastAsia="方正仿宋_GBK"/>
                <w:color w:val="000000"/>
                <w:kern w:val="0"/>
                <w:sz w:val="24"/>
                <w:szCs w:val="24"/>
                <w:lang w:bidi="ar"/>
              </w:rPr>
              <w:t>0</w:t>
            </w:r>
            <w:r>
              <w:rPr>
                <w:rFonts w:hint="eastAsia" w:ascii="方正仿宋_GBK" w:hAnsi="宋体" w:eastAsia="方正仿宋_GBK" w:cs="宋体"/>
                <w:color w:val="000000"/>
                <w:kern w:val="0"/>
                <w:sz w:val="24"/>
                <w:szCs w:val="24"/>
                <w:lang w:bidi="ar"/>
              </w:rPr>
              <w:t>分。</w:t>
            </w:r>
          </w:p>
        </w:tc>
        <w:tc>
          <w:tcPr>
            <w:tcW w:w="824" w:type="dxa"/>
            <w:vMerge w:val="continue"/>
            <w:tcBorders>
              <w:left w:val="single" w:color="auto" w:sz="4" w:space="0"/>
            </w:tcBorders>
            <w:vAlign w:val="center"/>
          </w:tcPr>
          <w:p w14:paraId="038C5AF9">
            <w:pPr>
              <w:spacing w:line="440" w:lineRule="exact"/>
              <w:jc w:val="center"/>
              <w:rPr>
                <w:rFonts w:hint="eastAsia" w:ascii="方正仿宋_GBK" w:eastAsia="方正仿宋_GBK"/>
                <w:color w:val="000000"/>
                <w:sz w:val="24"/>
                <w:szCs w:val="24"/>
              </w:rPr>
            </w:pPr>
          </w:p>
        </w:tc>
      </w:tr>
      <w:tr w14:paraId="4514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9" w:type="dxa"/>
            <w:vMerge w:val="restart"/>
            <w:vAlign w:val="center"/>
          </w:tcPr>
          <w:p w14:paraId="7486D99C">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3.6</w:t>
            </w:r>
          </w:p>
        </w:tc>
        <w:tc>
          <w:tcPr>
            <w:tcW w:w="1441" w:type="dxa"/>
            <w:vMerge w:val="restart"/>
            <w:tcBorders>
              <w:right w:val="single" w:color="auto" w:sz="4" w:space="0"/>
            </w:tcBorders>
            <w:vAlign w:val="center"/>
          </w:tcPr>
          <w:p w14:paraId="74571D38">
            <w:pPr>
              <w:widowControl/>
              <w:spacing w:line="44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团队服务能力</w:t>
            </w:r>
            <w:r>
              <w:rPr>
                <w:rFonts w:hint="eastAsia" w:ascii="方正仿宋_GBK" w:hAnsi="宋体" w:eastAsia="方正仿宋_GBK" w:cs="宋体"/>
                <w:color w:val="000000"/>
                <w:kern w:val="0"/>
                <w:sz w:val="24"/>
                <w:szCs w:val="24"/>
                <w:lang w:bidi="ar"/>
              </w:rPr>
              <w:br w:type="textWrapping"/>
            </w:r>
            <w:r>
              <w:rPr>
                <w:rFonts w:hint="eastAsia" w:ascii="方正仿宋_GBK" w:hAnsi="宋体" w:eastAsia="方正仿宋_GBK" w:cs="宋体"/>
                <w:color w:val="000000"/>
                <w:kern w:val="0"/>
                <w:sz w:val="24"/>
                <w:szCs w:val="24"/>
                <w:lang w:bidi="ar"/>
              </w:rPr>
              <w:t>（27分）</w:t>
            </w:r>
          </w:p>
        </w:tc>
        <w:tc>
          <w:tcPr>
            <w:tcW w:w="6355" w:type="dxa"/>
            <w:tcBorders>
              <w:top w:val="single" w:color="auto" w:sz="4" w:space="0"/>
              <w:left w:val="single" w:color="auto" w:sz="4" w:space="0"/>
              <w:bottom w:val="nil"/>
              <w:right w:val="single" w:color="auto" w:sz="4" w:space="0"/>
            </w:tcBorders>
            <w:vAlign w:val="bottom"/>
          </w:tcPr>
          <w:p w14:paraId="4D08EEBF">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项目负责人（唯一）：</w:t>
            </w:r>
          </w:p>
        </w:tc>
        <w:tc>
          <w:tcPr>
            <w:tcW w:w="824" w:type="dxa"/>
            <w:vMerge w:val="restart"/>
            <w:tcBorders>
              <w:left w:val="single" w:color="auto" w:sz="4" w:space="0"/>
            </w:tcBorders>
            <w:vAlign w:val="center"/>
          </w:tcPr>
          <w:p w14:paraId="6ABBE389">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15</w:t>
            </w:r>
          </w:p>
        </w:tc>
      </w:tr>
      <w:tr w14:paraId="24F9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19" w:type="dxa"/>
            <w:vMerge w:val="continue"/>
            <w:vAlign w:val="center"/>
          </w:tcPr>
          <w:p w14:paraId="4E5EAC78">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210B581B">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4B3FB57C">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eastAsia="方正仿宋_GBK"/>
                <w:sz w:val="24"/>
                <w:szCs w:val="24"/>
              </w:rPr>
              <w:t>（1）在国家密码管理局组织的商用密码应用安全性评估人员测评能力考核中，成绩在80分（含）以上的得3分，成绩在70分（含）以上得1分；</w:t>
            </w:r>
          </w:p>
          <w:p w14:paraId="6622404B">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eastAsia="方正仿宋_GBK"/>
                <w:sz w:val="24"/>
                <w:szCs w:val="24"/>
              </w:rPr>
              <w:t>（2）具有电子信息工程专业领域副高级（含）以上的职称，得3分；</w:t>
            </w:r>
          </w:p>
          <w:p w14:paraId="4B096CD0">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eastAsia="方正仿宋_GBK"/>
                <w:sz w:val="24"/>
                <w:szCs w:val="24"/>
              </w:rPr>
              <w:t xml:space="preserve">（3）具有网络安全能力认证（CCSC）/风险管理信息安全保障人员认证证书（CISAW）/数据安全评估师（CCRC-DSA）等证书，无CCSC证书该项不得分，上述条件每具备一项得3分，最高得9分； </w:t>
            </w:r>
          </w:p>
          <w:p w14:paraId="43A05329">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eastAsia="方正仿宋_GBK"/>
                <w:sz w:val="24"/>
                <w:szCs w:val="24"/>
              </w:rPr>
              <w:t>（提供测评能力考核成绩单、证书复印件及近六个月为其缴纳社保证明材料复印件，否则不得分）</w:t>
            </w:r>
          </w:p>
        </w:tc>
        <w:tc>
          <w:tcPr>
            <w:tcW w:w="824" w:type="dxa"/>
            <w:vMerge w:val="continue"/>
            <w:tcBorders>
              <w:left w:val="single" w:color="auto" w:sz="4" w:space="0"/>
            </w:tcBorders>
            <w:vAlign w:val="center"/>
          </w:tcPr>
          <w:p w14:paraId="78A31F70">
            <w:pPr>
              <w:spacing w:line="440" w:lineRule="exact"/>
              <w:jc w:val="center"/>
              <w:rPr>
                <w:rFonts w:hint="eastAsia" w:ascii="方正仿宋_GBK" w:eastAsia="方正仿宋_GBK"/>
                <w:color w:val="000000"/>
                <w:sz w:val="24"/>
                <w:szCs w:val="24"/>
              </w:rPr>
            </w:pPr>
          </w:p>
        </w:tc>
      </w:tr>
      <w:tr w14:paraId="178B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9" w:type="dxa"/>
            <w:vMerge w:val="continue"/>
            <w:vAlign w:val="center"/>
          </w:tcPr>
          <w:p w14:paraId="24F23AD2">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7BC746FA">
            <w:pPr>
              <w:spacing w:line="440" w:lineRule="exact"/>
              <w:jc w:val="center"/>
              <w:rPr>
                <w:rFonts w:hint="eastAsia" w:ascii="方正仿宋_GBK" w:hAnsi="宋体" w:eastAsia="方正仿宋_GBK" w:cs="宋体"/>
                <w:color w:val="000000"/>
                <w:sz w:val="24"/>
                <w:szCs w:val="24"/>
              </w:rPr>
            </w:pPr>
          </w:p>
        </w:tc>
        <w:tc>
          <w:tcPr>
            <w:tcW w:w="6355" w:type="dxa"/>
            <w:tcBorders>
              <w:top w:val="single" w:color="auto" w:sz="4" w:space="0"/>
              <w:left w:val="single" w:color="auto" w:sz="4" w:space="0"/>
              <w:bottom w:val="nil"/>
              <w:right w:val="single" w:color="auto" w:sz="4" w:space="0"/>
            </w:tcBorders>
            <w:vAlign w:val="bottom"/>
          </w:tcPr>
          <w:p w14:paraId="26FAE9F8">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技术人员要求（不含项目负责人）：</w:t>
            </w:r>
          </w:p>
        </w:tc>
        <w:tc>
          <w:tcPr>
            <w:tcW w:w="824" w:type="dxa"/>
            <w:vMerge w:val="restart"/>
            <w:tcBorders>
              <w:left w:val="single" w:color="auto" w:sz="4" w:space="0"/>
            </w:tcBorders>
            <w:vAlign w:val="center"/>
          </w:tcPr>
          <w:p w14:paraId="02EEA065">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12</w:t>
            </w:r>
          </w:p>
        </w:tc>
      </w:tr>
      <w:tr w14:paraId="67E1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19" w:type="dxa"/>
            <w:vMerge w:val="continue"/>
            <w:vAlign w:val="center"/>
          </w:tcPr>
          <w:p w14:paraId="6FE57BFE">
            <w:pPr>
              <w:spacing w:line="440" w:lineRule="exact"/>
              <w:jc w:val="center"/>
              <w:rPr>
                <w:rFonts w:hint="eastAsia" w:ascii="方正仿宋_GBK" w:eastAsia="方正仿宋_GBK"/>
                <w:color w:val="000000"/>
                <w:sz w:val="24"/>
                <w:szCs w:val="24"/>
              </w:rPr>
            </w:pPr>
          </w:p>
        </w:tc>
        <w:tc>
          <w:tcPr>
            <w:tcW w:w="1441" w:type="dxa"/>
            <w:vMerge w:val="continue"/>
            <w:tcBorders>
              <w:right w:val="single" w:color="auto" w:sz="4" w:space="0"/>
            </w:tcBorders>
            <w:vAlign w:val="center"/>
          </w:tcPr>
          <w:p w14:paraId="51D2A028">
            <w:pPr>
              <w:spacing w:line="440" w:lineRule="exact"/>
              <w:jc w:val="center"/>
              <w:rPr>
                <w:rFonts w:hint="eastAsia" w:ascii="方正仿宋_GBK" w:hAnsi="宋体" w:eastAsia="方正仿宋_GBK" w:cs="宋体"/>
                <w:color w:val="000000"/>
                <w:sz w:val="24"/>
                <w:szCs w:val="24"/>
              </w:rPr>
            </w:pPr>
          </w:p>
        </w:tc>
        <w:tc>
          <w:tcPr>
            <w:tcW w:w="6355" w:type="dxa"/>
            <w:tcBorders>
              <w:top w:val="nil"/>
              <w:left w:val="single" w:color="auto" w:sz="4" w:space="0"/>
              <w:bottom w:val="single" w:color="auto" w:sz="4" w:space="0"/>
              <w:right w:val="single" w:color="auto" w:sz="4" w:space="0"/>
            </w:tcBorders>
            <w:vAlign w:val="bottom"/>
          </w:tcPr>
          <w:p w14:paraId="1856F321">
            <w:pPr>
              <w:widowControl/>
              <w:spacing w:line="440" w:lineRule="exact"/>
              <w:textAlignment w:val="bottom"/>
              <w:rPr>
                <w:rFonts w:hint="eastAsia" w:ascii="方正仿宋_GBK" w:hAnsi="宋体" w:eastAsia="方正仿宋_GBK" w:cs="宋体"/>
                <w:color w:val="000000"/>
                <w:kern w:val="0"/>
                <w:sz w:val="24"/>
                <w:szCs w:val="24"/>
                <w:lang w:bidi="ar"/>
              </w:rPr>
            </w:pPr>
            <w:r>
              <w:rPr>
                <w:rFonts w:hint="eastAsia" w:ascii="方正仿宋_GBK" w:eastAsia="方正仿宋_GBK"/>
                <w:sz w:val="24"/>
                <w:szCs w:val="24"/>
              </w:rPr>
              <w:t>在通过国家密码管理局组织的商用密码应用安全性评估人员测评能力考核的基础上（须提供能力考核通过证书扫描件），具有下列相应证书的：</w:t>
            </w:r>
          </w:p>
          <w:p w14:paraId="5AB9EF3C">
            <w:pPr>
              <w:widowControl/>
              <w:spacing w:line="440" w:lineRule="exact"/>
              <w:textAlignment w:val="bottom"/>
              <w:rPr>
                <w:rFonts w:hint="eastAsia" w:ascii="方正仿宋_GBK" w:eastAsia="方正仿宋_GBK"/>
                <w:sz w:val="24"/>
                <w:szCs w:val="24"/>
              </w:rPr>
            </w:pPr>
            <w:r>
              <w:rPr>
                <w:rFonts w:hint="eastAsia" w:ascii="方正仿宋_GBK" w:eastAsia="方正仿宋_GBK"/>
                <w:sz w:val="24"/>
                <w:szCs w:val="24"/>
              </w:rPr>
              <w:t>（1）具有电子信息工程领域副高级（含）以上职称的，有1人得2分，最高得8分；</w:t>
            </w:r>
          </w:p>
          <w:p w14:paraId="2A1BBE1E">
            <w:pPr>
              <w:pStyle w:val="5"/>
              <w:spacing w:line="440" w:lineRule="exact"/>
              <w:rPr>
                <w:rFonts w:hint="eastAsia" w:ascii="方正仿宋_GBK" w:eastAsia="方正仿宋_GBK"/>
                <w:sz w:val="24"/>
                <w:szCs w:val="24"/>
              </w:rPr>
            </w:pPr>
            <w:r>
              <w:rPr>
                <w:rFonts w:hint="eastAsia" w:ascii="方正仿宋_GBK" w:eastAsia="方正仿宋_GBK"/>
                <w:sz w:val="24"/>
                <w:szCs w:val="24"/>
              </w:rPr>
              <w:t>（2）具有网络安全能力认证（CCSC）和数据安全评估师（CCRC-DSA）证书的，每有1人得1分，最高得4分。</w:t>
            </w:r>
          </w:p>
          <w:p w14:paraId="05595F44">
            <w:pPr>
              <w:widowControl/>
              <w:spacing w:line="440" w:lineRule="exact"/>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（供应商需提供近六个月为以上人员缴纳社保的证明材料、相关有效证书、商用密码应用安全性评估人员测评能力考核成绩单证明材料扫描件，并加盖供应商公章，未按要求提供不得分）</w:t>
            </w:r>
          </w:p>
        </w:tc>
        <w:tc>
          <w:tcPr>
            <w:tcW w:w="824" w:type="dxa"/>
            <w:vMerge w:val="continue"/>
            <w:tcBorders>
              <w:left w:val="single" w:color="auto" w:sz="4" w:space="0"/>
            </w:tcBorders>
            <w:vAlign w:val="center"/>
          </w:tcPr>
          <w:p w14:paraId="50A8696D">
            <w:pPr>
              <w:spacing w:line="440" w:lineRule="exact"/>
              <w:jc w:val="center"/>
              <w:rPr>
                <w:rFonts w:hint="eastAsia" w:ascii="方正仿宋_GBK" w:eastAsia="方正仿宋_GBK"/>
                <w:color w:val="000000"/>
                <w:sz w:val="24"/>
                <w:szCs w:val="24"/>
              </w:rPr>
            </w:pPr>
          </w:p>
        </w:tc>
      </w:tr>
      <w:tr w14:paraId="306E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719" w:type="dxa"/>
            <w:vAlign w:val="center"/>
          </w:tcPr>
          <w:p w14:paraId="4BCCEEB6">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3.7</w:t>
            </w:r>
          </w:p>
        </w:tc>
        <w:tc>
          <w:tcPr>
            <w:tcW w:w="1441" w:type="dxa"/>
            <w:tcBorders>
              <w:right w:val="single" w:color="auto" w:sz="4" w:space="0"/>
            </w:tcBorders>
            <w:vAlign w:val="center"/>
          </w:tcPr>
          <w:p w14:paraId="0FEE9596">
            <w:pPr>
              <w:widowControl/>
              <w:spacing w:line="440" w:lineRule="exact"/>
              <w:jc w:val="center"/>
              <w:textAlignment w:val="center"/>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服务案例（3分）</w:t>
            </w:r>
          </w:p>
        </w:tc>
        <w:tc>
          <w:tcPr>
            <w:tcW w:w="6355" w:type="dxa"/>
            <w:tcBorders>
              <w:top w:val="single" w:color="auto" w:sz="4" w:space="0"/>
              <w:left w:val="single" w:color="auto" w:sz="4" w:space="0"/>
              <w:bottom w:val="single" w:color="auto" w:sz="4" w:space="0"/>
              <w:right w:val="single" w:color="auto" w:sz="4" w:space="0"/>
            </w:tcBorders>
            <w:vAlign w:val="bottom"/>
          </w:tcPr>
          <w:p w14:paraId="004919CA">
            <w:pPr>
              <w:widowControl/>
              <w:spacing w:line="440" w:lineRule="exact"/>
              <w:textAlignment w:val="bottom"/>
              <w:rPr>
                <w:rFonts w:hint="eastAsia" w:ascii="方正仿宋_GBK" w:hAnsi="宋体" w:eastAsia="方正仿宋_GBK" w:cs="宋体"/>
                <w:color w:val="000000"/>
                <w:kern w:val="0"/>
                <w:sz w:val="24"/>
                <w:szCs w:val="24"/>
                <w:lang w:bidi="ar"/>
              </w:rPr>
            </w:pPr>
            <w:r>
              <w:rPr>
                <w:rFonts w:hint="eastAsia" w:ascii="方正仿宋_GBK" w:hAnsi="宋体" w:eastAsia="方正仿宋_GBK" w:cs="宋体"/>
                <w:color w:val="000000"/>
                <w:kern w:val="0"/>
                <w:sz w:val="24"/>
                <w:szCs w:val="24"/>
                <w:lang w:bidi="ar"/>
              </w:rPr>
              <w:t>供应商提供自2021年1月1日以来为密码测评项目的相关案例（案例主要标的物至少包含 “密码应用安全性评估”），提供一个案例得1分，最高得3分，未按要求提供的不得分。（供应商应提供有效合同扫描件或办赛相关证明文件，并加盖供应商公章，同一个案例不重复计分，未按要求提供不得分）</w:t>
            </w:r>
          </w:p>
        </w:tc>
        <w:tc>
          <w:tcPr>
            <w:tcW w:w="824" w:type="dxa"/>
            <w:tcBorders>
              <w:left w:val="single" w:color="auto" w:sz="4" w:space="0"/>
            </w:tcBorders>
            <w:vAlign w:val="center"/>
          </w:tcPr>
          <w:p w14:paraId="0F6F0060">
            <w:pPr>
              <w:widowControl/>
              <w:spacing w:line="440" w:lineRule="exact"/>
              <w:jc w:val="center"/>
              <w:textAlignment w:val="center"/>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3</w:t>
            </w:r>
          </w:p>
        </w:tc>
      </w:tr>
      <w:tr w14:paraId="2239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515" w:type="dxa"/>
            <w:gridSpan w:val="3"/>
            <w:vAlign w:val="bottom"/>
          </w:tcPr>
          <w:p w14:paraId="0AE374A9">
            <w:pPr>
              <w:widowControl/>
              <w:spacing w:line="440" w:lineRule="exact"/>
              <w:jc w:val="center"/>
              <w:textAlignment w:val="bottom"/>
              <w:rPr>
                <w:rFonts w:hint="eastAsia" w:ascii="方正仿宋_GBK" w:hAnsi="宋体" w:eastAsia="方正仿宋_GBK" w:cs="宋体"/>
                <w:color w:val="000000"/>
                <w:sz w:val="24"/>
                <w:szCs w:val="24"/>
              </w:rPr>
            </w:pPr>
            <w:r>
              <w:rPr>
                <w:rFonts w:hint="eastAsia" w:ascii="方正仿宋_GBK" w:hAnsi="宋体" w:eastAsia="方正仿宋_GBK" w:cs="宋体"/>
                <w:color w:val="000000"/>
                <w:kern w:val="0"/>
                <w:sz w:val="24"/>
                <w:szCs w:val="24"/>
                <w:lang w:bidi="ar"/>
              </w:rPr>
              <w:t>合计：</w:t>
            </w:r>
          </w:p>
        </w:tc>
        <w:tc>
          <w:tcPr>
            <w:tcW w:w="824" w:type="dxa"/>
            <w:vAlign w:val="bottom"/>
          </w:tcPr>
          <w:p w14:paraId="52FF2B9E">
            <w:pPr>
              <w:widowControl/>
              <w:spacing w:line="440" w:lineRule="exact"/>
              <w:jc w:val="center"/>
              <w:textAlignment w:val="bottom"/>
              <w:rPr>
                <w:rFonts w:hint="eastAsia" w:ascii="方正仿宋_GBK" w:eastAsia="方正仿宋_GBK"/>
                <w:color w:val="000000"/>
                <w:sz w:val="24"/>
                <w:szCs w:val="24"/>
              </w:rPr>
            </w:pPr>
            <w:r>
              <w:rPr>
                <w:rFonts w:hint="eastAsia" w:ascii="方正仿宋_GBK" w:eastAsia="方正仿宋_GBK"/>
                <w:color w:val="000000"/>
                <w:kern w:val="0"/>
                <w:sz w:val="24"/>
                <w:szCs w:val="24"/>
                <w:lang w:bidi="ar"/>
              </w:rPr>
              <w:t>100</w:t>
            </w:r>
          </w:p>
        </w:tc>
      </w:tr>
    </w:tbl>
    <w:p w14:paraId="57AC6592">
      <w:pPr>
        <w:tabs>
          <w:tab w:val="left" w:pos="5325"/>
        </w:tabs>
        <w:snapToGrid w:val="0"/>
        <w:spacing w:line="560" w:lineRule="exact"/>
        <w:contextualSpacing/>
        <w:rPr>
          <w:rFonts w:ascii="黑体" w:hAnsi="黑体" w:eastAsia="黑体" w:cs="Times New Roman"/>
          <w:sz w:val="32"/>
          <w:szCs w:val="32"/>
        </w:rPr>
      </w:pPr>
    </w:p>
    <w:p w14:paraId="3B07C0B5">
      <w:pPr>
        <w:pStyle w:val="15"/>
        <w:sectPr>
          <w:footerReference r:id="rId3" w:type="default"/>
          <w:pgSz w:w="11906" w:h="16838"/>
          <w:pgMar w:top="1560" w:right="1800" w:bottom="1440" w:left="1800" w:header="851" w:footer="657" w:gutter="0"/>
          <w:pgNumType w:start="1"/>
          <w:cols w:space="425" w:num="1"/>
          <w:docGrid w:type="lines" w:linePitch="312" w:charSpace="0"/>
        </w:sectPr>
      </w:pPr>
    </w:p>
    <w:p w14:paraId="187F2F74">
      <w:pPr>
        <w:rPr>
          <w:rFonts w:ascii="宋体" w:hAnsi="Calibri" w:eastAsia="宋体" w:cs="Times New Roman"/>
          <w:b/>
          <w:bCs/>
          <w:sz w:val="24"/>
          <w:szCs w:val="24"/>
        </w:rPr>
      </w:pPr>
      <w:r>
        <w:rPr>
          <w:rFonts w:ascii="宋体"/>
          <w:b/>
          <w:bCs/>
          <w:sz w:val="24"/>
          <w:szCs w:val="24"/>
        </w:rPr>
        <w:t>附件</w:t>
      </w:r>
      <w:r>
        <w:rPr>
          <w:rFonts w:hint="eastAsia" w:ascii="宋体"/>
          <w:b/>
          <w:bCs/>
          <w:sz w:val="24"/>
          <w:szCs w:val="24"/>
        </w:rPr>
        <w:t>1：</w:t>
      </w:r>
    </w:p>
    <w:p w14:paraId="624C326E">
      <w:pPr>
        <w:rPr>
          <w:rFonts w:ascii="宋体" w:hAnsi="Calibri" w:eastAsia="宋体" w:cs="Times New Roman"/>
          <w:sz w:val="24"/>
        </w:rPr>
      </w:pPr>
    </w:p>
    <w:p w14:paraId="20379621">
      <w:pPr>
        <w:jc w:val="center"/>
        <w:rPr>
          <w:rFonts w:ascii="宋体" w:hAnsi="宋体" w:eastAsia="宋体" w:cs="Times New Roman"/>
          <w:b/>
          <w:bCs/>
          <w:sz w:val="36"/>
          <w:szCs w:val="36"/>
        </w:rPr>
      </w:pPr>
      <w:r>
        <w:rPr>
          <w:rFonts w:hint="eastAsia" w:ascii="宋体" w:hAnsi="宋体" w:eastAsia="宋体" w:cs="Times New Roman"/>
          <w:b/>
          <w:bCs/>
          <w:sz w:val="44"/>
          <w:szCs w:val="44"/>
          <w:lang w:val="zh-CN"/>
        </w:rPr>
        <w:t>投标承诺函</w:t>
      </w:r>
    </w:p>
    <w:p w14:paraId="0F87469C">
      <w:pPr>
        <w:spacing w:line="5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江苏省文化馆</w:t>
      </w:r>
      <w:r>
        <w:rPr>
          <w:rFonts w:hint="eastAsia" w:ascii="方正仿宋_GBK" w:hAnsi="方正仿宋_GBK" w:eastAsia="方正仿宋_GBK" w:cs="方正仿宋_GBK"/>
          <w:sz w:val="32"/>
          <w:szCs w:val="32"/>
        </w:rPr>
        <w:t>：</w:t>
      </w:r>
    </w:p>
    <w:p w14:paraId="53AC813F">
      <w:pPr>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（供应商名称）郑重承诺：</w:t>
      </w:r>
    </w:p>
    <w:p w14:paraId="1BE73F08">
      <w:pPr>
        <w:snapToGri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1169D406">
      <w:pPr>
        <w:spacing w:line="520" w:lineRule="exact"/>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贵方组织的</w:t>
      </w:r>
      <w:r>
        <w:rPr>
          <w:rFonts w:hint="eastAsia" w:ascii="方正仿宋_GBK" w:hAnsi="方正仿宋_GBK" w:eastAsia="方正仿宋_GBK" w:cs="方正仿宋_GBK"/>
          <w:sz w:val="32"/>
          <w:szCs w:val="32"/>
          <w:lang w:val="en-US" w:eastAsia="zh-CN"/>
        </w:rPr>
        <w:t>江苏公共文化云</w:t>
      </w:r>
      <w:r>
        <w:rPr>
          <w:rFonts w:hint="eastAsia" w:ascii="方正仿宋_GBK" w:hAnsi="方正仿宋_GBK" w:eastAsia="方正仿宋_GBK" w:cs="方正仿宋_GBK"/>
          <w:sz w:val="32"/>
          <w:szCs w:val="32"/>
        </w:rPr>
        <w:t>商用密码应用安全性评估服务项目</w:t>
      </w:r>
      <w:r>
        <w:rPr>
          <w:rFonts w:hint="eastAsia" w:ascii="Times New Roman" w:hAnsi="Times New Roman" w:eastAsia="方正仿宋_GBK" w:cs="Times New Roman"/>
          <w:sz w:val="32"/>
          <w:szCs w:val="32"/>
        </w:rPr>
        <w:t>，我</w:t>
      </w:r>
      <w:r>
        <w:rPr>
          <w:rFonts w:hint="eastAsia" w:ascii="方正仿宋_GBK" w:hAnsi="方正仿宋_GBK" w:eastAsia="方正仿宋_GBK" w:cs="方正仿宋_GBK"/>
          <w:sz w:val="32"/>
          <w:szCs w:val="32"/>
        </w:rPr>
        <w:t>单位所提交的材料均为真实的，且能提供满足供应要求的服务内容。</w:t>
      </w:r>
    </w:p>
    <w:p w14:paraId="23F7B3E9">
      <w:pPr>
        <w:pStyle w:val="15"/>
      </w:pPr>
    </w:p>
    <w:p w14:paraId="70BDC14A">
      <w:pPr>
        <w:ind w:firstLine="560"/>
        <w:jc w:val="left"/>
        <w:rPr>
          <w:rFonts w:ascii="方正仿宋_GBK" w:hAnsi="方正仿宋_GBK" w:eastAsia="方正仿宋_GBK" w:cs="方正仿宋_GBK"/>
          <w:sz w:val="32"/>
          <w:szCs w:val="32"/>
        </w:rPr>
      </w:pPr>
    </w:p>
    <w:p w14:paraId="3AAD374F">
      <w:pPr>
        <w:ind w:firstLine="560"/>
        <w:jc w:val="left"/>
        <w:rPr>
          <w:rFonts w:ascii="方正仿宋_GBK" w:hAnsi="方正仿宋_GBK" w:eastAsia="方正仿宋_GBK" w:cs="方正仿宋_GBK"/>
          <w:sz w:val="32"/>
          <w:szCs w:val="32"/>
        </w:rPr>
      </w:pPr>
    </w:p>
    <w:p w14:paraId="222F9C41">
      <w:pPr>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承诺人：（公章）</w:t>
      </w:r>
    </w:p>
    <w:p w14:paraId="178A3931">
      <w:pPr>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14:paraId="2CC0BC88">
      <w:pPr>
        <w:pStyle w:val="15"/>
      </w:pPr>
    </w:p>
    <w:p w14:paraId="790D7BEE">
      <w:pPr>
        <w:pStyle w:val="15"/>
      </w:pPr>
    </w:p>
    <w:p w14:paraId="15584117">
      <w:pPr>
        <w:pStyle w:val="15"/>
      </w:pPr>
    </w:p>
    <w:p w14:paraId="75C5CAEC">
      <w:pPr>
        <w:pStyle w:val="15"/>
      </w:pPr>
    </w:p>
    <w:p w14:paraId="4006A915">
      <w:pPr>
        <w:pStyle w:val="15"/>
      </w:pPr>
    </w:p>
    <w:p w14:paraId="1F44F17C">
      <w:pPr>
        <w:rPr>
          <w:rFonts w:ascii="宋体"/>
          <w:b/>
          <w:bCs/>
          <w:sz w:val="24"/>
          <w:szCs w:val="24"/>
        </w:rPr>
        <w:sectPr>
          <w:pgSz w:w="11906" w:h="16838"/>
          <w:pgMar w:top="1560" w:right="1800" w:bottom="1440" w:left="1800" w:header="851" w:footer="657" w:gutter="0"/>
          <w:cols w:space="425" w:num="1"/>
          <w:docGrid w:type="lines" w:linePitch="312" w:charSpace="0"/>
        </w:sectPr>
      </w:pPr>
    </w:p>
    <w:p w14:paraId="19070767">
      <w:pPr>
        <w:rPr>
          <w:rFonts w:ascii="宋体"/>
          <w:b/>
          <w:bCs/>
          <w:sz w:val="24"/>
          <w:szCs w:val="24"/>
        </w:rPr>
      </w:pPr>
      <w:r>
        <w:rPr>
          <w:rFonts w:ascii="宋体"/>
          <w:b/>
          <w:bCs/>
          <w:sz w:val="24"/>
          <w:szCs w:val="24"/>
        </w:rPr>
        <w:t>附件</w:t>
      </w:r>
      <w:r>
        <w:rPr>
          <w:rFonts w:hint="eastAsia" w:ascii="宋体"/>
          <w:b/>
          <w:bCs/>
          <w:sz w:val="24"/>
          <w:szCs w:val="24"/>
        </w:rPr>
        <w:t>2：</w:t>
      </w:r>
    </w:p>
    <w:p w14:paraId="3DB3C13A">
      <w:pPr>
        <w:snapToGrid w:val="0"/>
        <w:jc w:val="center"/>
        <w:rPr>
          <w:rFonts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投标响应报价表</w:t>
      </w:r>
    </w:p>
    <w:tbl>
      <w:tblPr>
        <w:tblStyle w:val="17"/>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1687"/>
        <w:gridCol w:w="6639"/>
      </w:tblGrid>
      <w:tr w14:paraId="70544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1013" w:type="pct"/>
            <w:tcBorders>
              <w:top w:val="single" w:color="auto" w:sz="4" w:space="0"/>
              <w:left w:val="single" w:color="auto" w:sz="4" w:space="0"/>
              <w:bottom w:val="single" w:color="auto" w:sz="4" w:space="0"/>
              <w:right w:val="single" w:color="auto" w:sz="4" w:space="0"/>
            </w:tcBorders>
            <w:shd w:val="clear" w:color="auto" w:fill="FFFFFF"/>
            <w:vAlign w:val="center"/>
          </w:tcPr>
          <w:p w14:paraId="56A4EB6E">
            <w:pPr>
              <w:pStyle w:val="13"/>
              <w:shd w:val="clear" w:color="auto" w:fill="FFFFFF"/>
              <w:spacing w:before="0" w:beforeAutospacing="0" w:after="75" w:afterAutospacing="0" w:line="525" w:lineRule="atLeast"/>
              <w:ind w:firstLine="420"/>
              <w:jc w:val="center"/>
              <w:rPr>
                <w:rFonts w:hint="eastAsia" w:ascii="方正仿宋_GBK" w:hAnsi="方正仿宋_GBK" w:eastAsia="方正仿宋_GBK" w:cs="方正仿宋_GBK"/>
                <w:b/>
                <w:bCs/>
              </w:rPr>
            </w:pPr>
            <w:r>
              <w:rPr>
                <w:rFonts w:hint="eastAsia" w:ascii="方正仿宋_GBK" w:hAnsi="方正仿宋_GBK" w:eastAsia="方正仿宋_GBK" w:cs="方正仿宋_GBK"/>
                <w:b/>
                <w:bCs/>
              </w:rPr>
              <w:t>项目名称：</w:t>
            </w:r>
          </w:p>
        </w:tc>
        <w:tc>
          <w:tcPr>
            <w:tcW w:w="3986" w:type="pct"/>
            <w:tcBorders>
              <w:top w:val="single" w:color="auto" w:sz="4" w:space="0"/>
              <w:left w:val="single" w:color="auto" w:sz="4" w:space="0"/>
              <w:bottom w:val="single" w:color="auto" w:sz="4" w:space="0"/>
              <w:right w:val="single" w:color="auto" w:sz="4" w:space="0"/>
            </w:tcBorders>
            <w:shd w:val="clear" w:color="auto" w:fill="FFFFFF"/>
            <w:vAlign w:val="center"/>
          </w:tcPr>
          <w:p w14:paraId="1C508330">
            <w:pPr>
              <w:pStyle w:val="13"/>
              <w:wordWrap w:val="0"/>
              <w:spacing w:before="0" w:beforeAutospacing="0" w:after="75" w:afterAutospacing="0" w:line="525" w:lineRule="atLeast"/>
              <w:jc w:val="left"/>
              <w:rPr>
                <w:rFonts w:hint="eastAsia" w:ascii="方正仿宋_GBK" w:hAnsi="方正仿宋_GBK" w:eastAsia="方正仿宋_GBK" w:cs="方正仿宋_GBK"/>
              </w:rPr>
            </w:pPr>
          </w:p>
        </w:tc>
      </w:tr>
      <w:tr w14:paraId="089F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blCellSpacing w:w="0" w:type="dxa"/>
        </w:trPr>
        <w:tc>
          <w:tcPr>
            <w:tcW w:w="1013" w:type="pct"/>
            <w:tcBorders>
              <w:top w:val="single" w:color="auto" w:sz="4" w:space="0"/>
              <w:left w:val="single" w:color="auto" w:sz="4" w:space="0"/>
              <w:bottom w:val="single" w:color="auto" w:sz="4" w:space="0"/>
              <w:right w:val="single" w:color="auto" w:sz="4" w:space="0"/>
            </w:tcBorders>
            <w:shd w:val="clear" w:color="auto" w:fill="FFFFFF"/>
            <w:vAlign w:val="center"/>
          </w:tcPr>
          <w:p w14:paraId="502614AF">
            <w:pPr>
              <w:pStyle w:val="13"/>
              <w:wordWrap w:val="0"/>
              <w:spacing w:before="0" w:beforeAutospacing="0" w:after="75" w:afterAutospacing="0" w:line="525" w:lineRule="atLeast"/>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rPr>
              <w:t>报价：</w:t>
            </w:r>
          </w:p>
        </w:tc>
        <w:tc>
          <w:tcPr>
            <w:tcW w:w="3986" w:type="pct"/>
            <w:tcBorders>
              <w:top w:val="single" w:color="auto" w:sz="4" w:space="0"/>
              <w:left w:val="single" w:color="auto" w:sz="4" w:space="0"/>
              <w:bottom w:val="single" w:color="auto" w:sz="4" w:space="0"/>
              <w:right w:val="single" w:color="auto" w:sz="4" w:space="0"/>
            </w:tcBorders>
            <w:shd w:val="clear" w:color="auto" w:fill="FFFFFF"/>
            <w:vAlign w:val="center"/>
          </w:tcPr>
          <w:p w14:paraId="78646893">
            <w:pPr>
              <w:pStyle w:val="13"/>
              <w:wordWrap w:val="0"/>
              <w:spacing w:before="0" w:beforeAutospacing="0" w:after="75" w:afterAutospacing="0" w:line="525" w:lineRule="atLeast"/>
              <w:rPr>
                <w:rFonts w:ascii="方正仿宋_GBK" w:hAnsi="方正仿宋_GBK" w:eastAsia="方正仿宋_GBK" w:cs="方正仿宋_GBK"/>
              </w:rPr>
            </w:pPr>
            <w:r>
              <w:rPr>
                <w:rFonts w:hint="eastAsia" w:ascii="方正仿宋_GBK" w:hAnsi="方正仿宋_GBK" w:eastAsia="方正仿宋_GBK" w:cs="方正仿宋_GBK"/>
              </w:rPr>
              <w:t>大写（人民币）：</w:t>
            </w:r>
          </w:p>
          <w:p w14:paraId="488E1122">
            <w:pPr>
              <w:pStyle w:val="13"/>
              <w:wordWrap w:val="0"/>
              <w:spacing w:before="0" w:beforeAutospacing="0" w:after="75" w:afterAutospacing="0" w:line="525" w:lineRule="atLeast"/>
              <w:rPr>
                <w:rFonts w:hint="eastAsia" w:ascii="方正仿宋_GBK" w:hAnsi="方正仿宋_GBK" w:eastAsia="方正仿宋_GBK" w:cs="方正仿宋_GBK"/>
              </w:rPr>
            </w:pPr>
            <w:r>
              <w:rPr>
                <w:rFonts w:hint="eastAsia" w:ascii="方正仿宋_GBK" w:hAnsi="方正仿宋_GBK" w:eastAsia="方正仿宋_GBK" w:cs="方正仿宋_GBK"/>
              </w:rPr>
              <w:t>小写（￥）：</w:t>
            </w:r>
          </w:p>
        </w:tc>
      </w:tr>
      <w:tr w14:paraId="1424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1013" w:type="pct"/>
            <w:tcBorders>
              <w:top w:val="single" w:color="auto" w:sz="4" w:space="0"/>
              <w:left w:val="single" w:color="auto" w:sz="4" w:space="0"/>
              <w:bottom w:val="single" w:color="auto" w:sz="4" w:space="0"/>
              <w:right w:val="single" w:color="auto" w:sz="4" w:space="0"/>
            </w:tcBorders>
            <w:shd w:val="clear" w:color="auto" w:fill="FFFFFF"/>
            <w:vAlign w:val="center"/>
          </w:tcPr>
          <w:p w14:paraId="0C8033BA">
            <w:pPr>
              <w:pStyle w:val="13"/>
              <w:wordWrap w:val="0"/>
              <w:spacing w:before="0" w:beforeAutospacing="0" w:after="75" w:afterAutospacing="0" w:line="525" w:lineRule="atLeast"/>
              <w:jc w:val="center"/>
              <w:rPr>
                <w:rFonts w:hint="eastAsia" w:ascii="方正仿宋_GBK" w:hAnsi="方正仿宋_GBK" w:eastAsia="方正仿宋_GBK" w:cs="方正仿宋_GBK"/>
                <w:b/>
                <w:bCs/>
                <w:lang w:val="en-US" w:eastAsia="zh-CN"/>
              </w:rPr>
            </w:pPr>
            <w:r>
              <w:rPr>
                <w:rFonts w:hint="eastAsia" w:ascii="方正仿宋_GBK" w:hAnsi="方正仿宋_GBK" w:eastAsia="方正仿宋_GBK" w:cs="方正仿宋_GBK"/>
                <w:b/>
                <w:bCs/>
                <w:lang w:val="en-US" w:eastAsia="zh-CN"/>
              </w:rPr>
              <w:t>备注</w:t>
            </w:r>
            <w:r>
              <w:rPr>
                <w:rFonts w:hint="eastAsia" w:ascii="方正仿宋_GBK" w:hAnsi="方正仿宋_GBK" w:eastAsia="方正仿宋_GBK" w:cs="方正仿宋_GBK"/>
                <w:b/>
                <w:bCs/>
              </w:rPr>
              <w:t>：</w:t>
            </w:r>
          </w:p>
        </w:tc>
        <w:tc>
          <w:tcPr>
            <w:tcW w:w="3986" w:type="pct"/>
            <w:tcBorders>
              <w:top w:val="single" w:color="auto" w:sz="4" w:space="0"/>
              <w:left w:val="single" w:color="auto" w:sz="4" w:space="0"/>
              <w:bottom w:val="single" w:color="auto" w:sz="4" w:space="0"/>
              <w:right w:val="single" w:color="auto" w:sz="4" w:space="0"/>
            </w:tcBorders>
            <w:shd w:val="clear" w:color="auto" w:fill="FFFFFF"/>
            <w:vAlign w:val="center"/>
          </w:tcPr>
          <w:p w14:paraId="015C71E6">
            <w:pPr>
              <w:widowControl/>
              <w:wordWrap w:val="0"/>
              <w:jc w:val="left"/>
              <w:rPr>
                <w:rFonts w:hint="eastAsia" w:ascii="方正仿宋_GBK" w:hAnsi="方正仿宋_GBK" w:eastAsia="方正仿宋_GBK" w:cs="方正仿宋_GBK"/>
                <w:sz w:val="24"/>
                <w:szCs w:val="24"/>
              </w:rPr>
            </w:pPr>
          </w:p>
        </w:tc>
      </w:tr>
    </w:tbl>
    <w:p w14:paraId="14064AEA">
      <w:pPr>
        <w:pStyle w:val="13"/>
        <w:shd w:val="clear" w:color="auto" w:fill="FFFFFF"/>
        <w:spacing w:before="0" w:beforeAutospacing="0" w:after="75" w:afterAutospacing="0" w:line="525" w:lineRule="atLeast"/>
        <w:ind w:firstLine="420"/>
        <w:rPr>
          <w:rFonts w:hint="eastAsia" w:ascii="方正仿宋_GBK" w:hAnsi="方正仿宋_GBK" w:eastAsia="方正仿宋_GBK" w:cs="方正仿宋_GBK"/>
          <w:shd w:val="clear" w:color="auto" w:fill="FFFFFF"/>
        </w:rPr>
      </w:pPr>
      <w:r>
        <w:rPr>
          <w:rFonts w:hint="eastAsia" w:ascii="方正仿宋_GBK" w:hAnsi="方正仿宋_GBK" w:eastAsia="方正仿宋_GBK" w:cs="方正仿宋_GBK"/>
          <w:shd w:val="clear" w:color="auto" w:fill="FFFFFF"/>
        </w:rPr>
        <w:t>投标人授权人签字：</w:t>
      </w:r>
    </w:p>
    <w:p w14:paraId="0FE99FEC">
      <w:pPr>
        <w:pStyle w:val="13"/>
        <w:shd w:val="clear" w:color="auto" w:fill="FFFFFF"/>
        <w:spacing w:before="0" w:beforeAutospacing="0" w:after="75" w:afterAutospacing="0" w:line="525" w:lineRule="atLeast"/>
        <w:ind w:firstLine="420"/>
        <w:rPr>
          <w:rFonts w:ascii="方正仿宋_GBK" w:hAnsi="方正仿宋_GBK" w:eastAsia="方正仿宋_GBK" w:cs="方正仿宋_GBK"/>
        </w:rPr>
      </w:pPr>
      <w:r>
        <w:rPr>
          <w:rFonts w:hint="eastAsia" w:ascii="方正仿宋_GBK" w:hAnsi="方正仿宋_GBK" w:eastAsia="方正仿宋_GBK" w:cs="方正仿宋_GBK"/>
          <w:shd w:val="clear" w:color="auto" w:fill="FFFFFF"/>
        </w:rPr>
        <w:t>投标单位：（盖章）</w:t>
      </w:r>
    </w:p>
    <w:p w14:paraId="3632C0B0">
      <w:pPr>
        <w:pStyle w:val="13"/>
        <w:shd w:val="clear" w:color="auto" w:fill="FFFFFF"/>
        <w:spacing w:before="0" w:beforeAutospacing="0" w:after="75" w:afterAutospacing="0" w:line="525" w:lineRule="atLeast"/>
        <w:ind w:firstLine="420"/>
        <w:rPr>
          <w:rFonts w:ascii="微软雅黑" w:hAnsi="微软雅黑" w:eastAsia="微软雅黑" w:cs="微软雅黑"/>
          <w:shd w:val="clear" w:color="auto" w:fill="FFFFFF"/>
        </w:rPr>
      </w:pPr>
      <w:r>
        <w:rPr>
          <w:rFonts w:hint="eastAsia" w:ascii="方正仿宋_GBK" w:hAnsi="方正仿宋_GBK" w:eastAsia="方正仿宋_GBK" w:cs="方正仿宋_GBK"/>
          <w:shd w:val="clear" w:color="auto" w:fill="FFFFFF"/>
        </w:rPr>
        <w:t>日    期：</w:t>
      </w:r>
    </w:p>
    <w:sectPr>
      <w:footerReference r:id="rId4" w:type="default"/>
      <w:pgSz w:w="11906" w:h="16838"/>
      <w:pgMar w:top="1560" w:right="1800" w:bottom="1440"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0016" w:usb3="00000000" w:csb0="00040001"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6FB92">
    <w:pPr>
      <w:pStyle w:val="1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joinstyle="miter"/>
          <v:imagedata o:title=""/>
          <o:lock v:ext="edit"/>
          <v:textbox inset="0mm,0mm,0mm,0mm" style="mso-fit-shape-to-text:t;">
            <w:txbxContent>
              <w:p w14:paraId="7302C5E0">
                <w:pPr>
                  <w:pStyle w:val="10"/>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1"/>
        <w:szCs w:val="21"/>
      </w:rPr>
      <w:id w:val="980586938"/>
    </w:sdtPr>
    <w:sdtEndPr>
      <w:rPr>
        <w:rFonts w:asciiTheme="minorEastAsia" w:hAnsiTheme="minorEastAsia"/>
        <w:sz w:val="21"/>
        <w:szCs w:val="21"/>
      </w:rPr>
    </w:sdtEndPr>
    <w:sdtContent>
      <w:p w14:paraId="3F19C69C">
        <w:pPr>
          <w:pStyle w:val="10"/>
          <w:jc w:val="center"/>
          <w:rPr>
            <w:rFonts w:asciiTheme="minorEastAsia" w:hAnsiTheme="minorEastAsia"/>
            <w:sz w:val="21"/>
            <w:szCs w:val="21"/>
          </w:rPr>
        </w:pPr>
        <w:r>
          <w:rPr>
            <w:rFonts w:asciiTheme="minorEastAsia" w:hAnsiTheme="minorEastAsia"/>
            <w:sz w:val="21"/>
            <w:szCs w:val="21"/>
          </w:rPr>
          <w:fldChar w:fldCharType="begin"/>
        </w:r>
        <w:r>
          <w:rPr>
            <w:rFonts w:asciiTheme="minorEastAsia" w:hAnsiTheme="minorEastAsia"/>
            <w:sz w:val="21"/>
            <w:szCs w:val="21"/>
          </w:rPr>
          <w:instrText xml:space="preserve"> PAGE   \* MERGEFORMAT </w:instrText>
        </w:r>
        <w:r>
          <w:rPr>
            <w:rFonts w:asciiTheme="minorEastAsia" w:hAnsiTheme="minorEastAsia"/>
            <w:sz w:val="21"/>
            <w:szCs w:val="21"/>
          </w:rPr>
          <w:fldChar w:fldCharType="separate"/>
        </w:r>
        <w:r>
          <w:rPr>
            <w:rFonts w:asciiTheme="minorEastAsia" w:hAnsiTheme="minorEastAsia"/>
            <w:sz w:val="21"/>
            <w:szCs w:val="21"/>
            <w:lang w:val="zh-CN"/>
          </w:rPr>
          <w:t>12</w:t>
        </w:r>
        <w:r>
          <w:rPr>
            <w:rFonts w:asciiTheme="minorEastAsia" w:hAnsiTheme="minorEastAsia"/>
            <w:sz w:val="21"/>
            <w:szCs w:val="21"/>
            <w:lang w:val="zh-CN"/>
          </w:rPr>
          <w:fldChar w:fldCharType="end"/>
        </w:r>
      </w:p>
    </w:sdtContent>
  </w:sdt>
  <w:p w14:paraId="5AE5321A">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4F9F1"/>
    <w:multiLevelType w:val="singleLevel"/>
    <w:tmpl w:val="3B14F9F1"/>
    <w:lvl w:ilvl="0" w:tentative="0">
      <w:start w:val="3"/>
      <w:numFmt w:val="decimal"/>
      <w:suff w:val="nothing"/>
      <w:lvlText w:val="%1、"/>
      <w:lvlJc w:val="left"/>
    </w:lvl>
  </w:abstractNum>
  <w:abstractNum w:abstractNumId="1">
    <w:nsid w:val="3E102F54"/>
    <w:multiLevelType w:val="multilevel"/>
    <w:tmpl w:val="3E102F54"/>
    <w:lvl w:ilvl="0" w:tentative="0">
      <w:start w:val="1"/>
      <w:numFmt w:val="decimal"/>
      <w:lvlText w:val="%1"/>
      <w:lvlJc w:val="left"/>
      <w:pPr>
        <w:ind w:left="425" w:hanging="425"/>
      </w:pPr>
      <w:rPr>
        <w:rFonts w:hint="eastAsia"/>
      </w:rPr>
    </w:lvl>
    <w:lvl w:ilvl="1" w:tentative="0">
      <w:start w:val="1"/>
      <w:numFmt w:val="chineseCountingThousand"/>
      <w:lvlText w:val="%2、"/>
      <w:lvlJc w:val="left"/>
      <w:pPr>
        <w:ind w:left="0" w:firstLine="0"/>
      </w:pPr>
      <w:rPr>
        <w:rFonts w:hint="eastAsia"/>
        <w:i w:val="0"/>
        <w:iCs w:val="0"/>
        <w:caps w:val="0"/>
        <w:smallCaps w:val="0"/>
        <w:strike w:val="0"/>
        <w:dstrike w:val="0"/>
        <w:vanish w:val="0"/>
        <w:spacing w:val="0"/>
        <w:position w:val="0"/>
        <w:u w:val="none"/>
        <w:vertAlign w:val="baseline"/>
      </w:rPr>
    </w:lvl>
    <w:lvl w:ilvl="2" w:tentative="0">
      <w:start w:val="1"/>
      <w:numFmt w:val="decimal"/>
      <w:pStyle w:val="3"/>
      <w:suff w:val="space"/>
      <w:lvlText w:val="%3、"/>
      <w:lvlJc w:val="left"/>
      <w:pPr>
        <w:ind w:left="0" w:firstLine="420"/>
      </w:pPr>
      <w:rPr>
        <w:rFonts w:hint="eastAsia"/>
      </w:rPr>
    </w:lvl>
    <w:lvl w:ilvl="3" w:tentative="0">
      <w:start w:val="1"/>
      <w:numFmt w:val="decimal"/>
      <w:pStyle w:val="4"/>
      <w:lvlText w:val="%3.%4、"/>
      <w:lvlJc w:val="left"/>
      <w:pPr>
        <w:ind w:left="0" w:firstLine="42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zNlZTk1MGYzZmRiOWEzMmQxYjBkNjU4MzkzYjViZGMifQ=="/>
  </w:docVars>
  <w:rsids>
    <w:rsidRoot w:val="007661A4"/>
    <w:rsid w:val="0003088A"/>
    <w:rsid w:val="00063538"/>
    <w:rsid w:val="00076635"/>
    <w:rsid w:val="000975A2"/>
    <w:rsid w:val="000A44B1"/>
    <w:rsid w:val="000C499C"/>
    <w:rsid w:val="000E7344"/>
    <w:rsid w:val="00122641"/>
    <w:rsid w:val="00151E3F"/>
    <w:rsid w:val="00155B7B"/>
    <w:rsid w:val="001561C7"/>
    <w:rsid w:val="00157275"/>
    <w:rsid w:val="0016302E"/>
    <w:rsid w:val="001704CA"/>
    <w:rsid w:val="00173619"/>
    <w:rsid w:val="00174E19"/>
    <w:rsid w:val="001A2970"/>
    <w:rsid w:val="001A2B8F"/>
    <w:rsid w:val="002108F4"/>
    <w:rsid w:val="00250C78"/>
    <w:rsid w:val="00251CA5"/>
    <w:rsid w:val="002613C4"/>
    <w:rsid w:val="00270450"/>
    <w:rsid w:val="0028020F"/>
    <w:rsid w:val="00282305"/>
    <w:rsid w:val="00290591"/>
    <w:rsid w:val="002A3026"/>
    <w:rsid w:val="002B3B40"/>
    <w:rsid w:val="002B47CE"/>
    <w:rsid w:val="002C7058"/>
    <w:rsid w:val="002F2018"/>
    <w:rsid w:val="002F620E"/>
    <w:rsid w:val="00311F3E"/>
    <w:rsid w:val="00316EDA"/>
    <w:rsid w:val="00366189"/>
    <w:rsid w:val="0038771B"/>
    <w:rsid w:val="00393CD5"/>
    <w:rsid w:val="003B127A"/>
    <w:rsid w:val="003B50DE"/>
    <w:rsid w:val="003F37DE"/>
    <w:rsid w:val="00425D03"/>
    <w:rsid w:val="00427288"/>
    <w:rsid w:val="004474F9"/>
    <w:rsid w:val="004565E0"/>
    <w:rsid w:val="004822D1"/>
    <w:rsid w:val="00507074"/>
    <w:rsid w:val="005113C1"/>
    <w:rsid w:val="00515913"/>
    <w:rsid w:val="005431FF"/>
    <w:rsid w:val="00565C8F"/>
    <w:rsid w:val="005A1F8B"/>
    <w:rsid w:val="005B0960"/>
    <w:rsid w:val="005D40FE"/>
    <w:rsid w:val="005E3342"/>
    <w:rsid w:val="006135A4"/>
    <w:rsid w:val="00643047"/>
    <w:rsid w:val="00652BF8"/>
    <w:rsid w:val="006A381D"/>
    <w:rsid w:val="006C071D"/>
    <w:rsid w:val="006C7F22"/>
    <w:rsid w:val="00701AC2"/>
    <w:rsid w:val="00720CCB"/>
    <w:rsid w:val="00736852"/>
    <w:rsid w:val="007463DF"/>
    <w:rsid w:val="007661A4"/>
    <w:rsid w:val="0076673B"/>
    <w:rsid w:val="007759E6"/>
    <w:rsid w:val="00784AB2"/>
    <w:rsid w:val="007C5A5D"/>
    <w:rsid w:val="007C6A1D"/>
    <w:rsid w:val="008005E6"/>
    <w:rsid w:val="00822A80"/>
    <w:rsid w:val="00850C30"/>
    <w:rsid w:val="00871DB2"/>
    <w:rsid w:val="00875FC4"/>
    <w:rsid w:val="008A3513"/>
    <w:rsid w:val="008A651A"/>
    <w:rsid w:val="008C094C"/>
    <w:rsid w:val="008D1B33"/>
    <w:rsid w:val="008D5553"/>
    <w:rsid w:val="00900BB9"/>
    <w:rsid w:val="00901E27"/>
    <w:rsid w:val="009142E7"/>
    <w:rsid w:val="009178CB"/>
    <w:rsid w:val="00933662"/>
    <w:rsid w:val="00955618"/>
    <w:rsid w:val="009C2248"/>
    <w:rsid w:val="009E10D1"/>
    <w:rsid w:val="00A109D3"/>
    <w:rsid w:val="00A13AD3"/>
    <w:rsid w:val="00A34BAA"/>
    <w:rsid w:val="00A72772"/>
    <w:rsid w:val="00A85B96"/>
    <w:rsid w:val="00A93B25"/>
    <w:rsid w:val="00AE1C1A"/>
    <w:rsid w:val="00B01487"/>
    <w:rsid w:val="00B024BA"/>
    <w:rsid w:val="00B039C0"/>
    <w:rsid w:val="00B62395"/>
    <w:rsid w:val="00B76C3D"/>
    <w:rsid w:val="00B92DB9"/>
    <w:rsid w:val="00BB3F46"/>
    <w:rsid w:val="00BB7BE9"/>
    <w:rsid w:val="00BC571A"/>
    <w:rsid w:val="00C131BF"/>
    <w:rsid w:val="00C33214"/>
    <w:rsid w:val="00C42D66"/>
    <w:rsid w:val="00C63127"/>
    <w:rsid w:val="00CA3887"/>
    <w:rsid w:val="00CC2FD4"/>
    <w:rsid w:val="00CC4832"/>
    <w:rsid w:val="00D14A58"/>
    <w:rsid w:val="00D17BEF"/>
    <w:rsid w:val="00D20E99"/>
    <w:rsid w:val="00D7523F"/>
    <w:rsid w:val="00DA7D80"/>
    <w:rsid w:val="00DF5845"/>
    <w:rsid w:val="00E4379C"/>
    <w:rsid w:val="00E469A8"/>
    <w:rsid w:val="00E86183"/>
    <w:rsid w:val="00EA2FC9"/>
    <w:rsid w:val="00ED5B24"/>
    <w:rsid w:val="00EF3862"/>
    <w:rsid w:val="00F12234"/>
    <w:rsid w:val="00F30DEC"/>
    <w:rsid w:val="00FA329E"/>
    <w:rsid w:val="00FA4C70"/>
    <w:rsid w:val="00FA5511"/>
    <w:rsid w:val="028C11CF"/>
    <w:rsid w:val="03550A49"/>
    <w:rsid w:val="05A85A82"/>
    <w:rsid w:val="07462294"/>
    <w:rsid w:val="07D13838"/>
    <w:rsid w:val="0B0D5E14"/>
    <w:rsid w:val="0B815649"/>
    <w:rsid w:val="155A30D3"/>
    <w:rsid w:val="159E329B"/>
    <w:rsid w:val="167571D0"/>
    <w:rsid w:val="16FA3937"/>
    <w:rsid w:val="189967EB"/>
    <w:rsid w:val="19084ABD"/>
    <w:rsid w:val="1B5C73CB"/>
    <w:rsid w:val="1BAB2B55"/>
    <w:rsid w:val="1F82303C"/>
    <w:rsid w:val="22D0295F"/>
    <w:rsid w:val="24EA6547"/>
    <w:rsid w:val="263D2305"/>
    <w:rsid w:val="28792866"/>
    <w:rsid w:val="2C247228"/>
    <w:rsid w:val="31BC0BA2"/>
    <w:rsid w:val="369F0995"/>
    <w:rsid w:val="3B1C421D"/>
    <w:rsid w:val="3BD35C71"/>
    <w:rsid w:val="3CB00428"/>
    <w:rsid w:val="3D163650"/>
    <w:rsid w:val="3E466D74"/>
    <w:rsid w:val="3E6B3DB3"/>
    <w:rsid w:val="432E7458"/>
    <w:rsid w:val="46367DBF"/>
    <w:rsid w:val="465E0EE8"/>
    <w:rsid w:val="470F3D48"/>
    <w:rsid w:val="4AD652DE"/>
    <w:rsid w:val="4B170BB7"/>
    <w:rsid w:val="4BFE1174"/>
    <w:rsid w:val="4D3C7046"/>
    <w:rsid w:val="4D86770C"/>
    <w:rsid w:val="4D954A8F"/>
    <w:rsid w:val="4E6B74B7"/>
    <w:rsid w:val="552159DD"/>
    <w:rsid w:val="56686E91"/>
    <w:rsid w:val="59892792"/>
    <w:rsid w:val="5A4B2513"/>
    <w:rsid w:val="5AB078E9"/>
    <w:rsid w:val="5B501CFC"/>
    <w:rsid w:val="5DC7295C"/>
    <w:rsid w:val="5EDD4798"/>
    <w:rsid w:val="6022379A"/>
    <w:rsid w:val="608F0419"/>
    <w:rsid w:val="60F15F42"/>
    <w:rsid w:val="61081953"/>
    <w:rsid w:val="61756C12"/>
    <w:rsid w:val="618159FF"/>
    <w:rsid w:val="623600B0"/>
    <w:rsid w:val="62590C5D"/>
    <w:rsid w:val="63CC7DB5"/>
    <w:rsid w:val="67024A05"/>
    <w:rsid w:val="675B6E7D"/>
    <w:rsid w:val="67E1286C"/>
    <w:rsid w:val="68696AB2"/>
    <w:rsid w:val="6CF46B9E"/>
    <w:rsid w:val="6EF817AA"/>
    <w:rsid w:val="731A2D5D"/>
    <w:rsid w:val="749113CE"/>
    <w:rsid w:val="79BA2094"/>
    <w:rsid w:val="7B7F2766"/>
    <w:rsid w:val="7F264BB1"/>
    <w:rsid w:val="7FE54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numPr>
        <w:ilvl w:val="2"/>
        <w:numId w:val="1"/>
      </w:numPr>
      <w:spacing w:before="100" w:after="100"/>
      <w:ind w:firstLine="200" w:firstLineChars="200"/>
      <w:outlineLvl w:val="2"/>
    </w:pPr>
    <w:rPr>
      <w:rFonts w:eastAsia="仿宋"/>
      <w:b/>
      <w:bCs/>
      <w:sz w:val="28"/>
      <w:szCs w:val="32"/>
    </w:rPr>
  </w:style>
  <w:style w:type="paragraph" w:styleId="4">
    <w:name w:val="heading 4"/>
    <w:basedOn w:val="1"/>
    <w:next w:val="1"/>
    <w:autoRedefine/>
    <w:unhideWhenUsed/>
    <w:qFormat/>
    <w:uiPriority w:val="0"/>
    <w:pPr>
      <w:keepNext/>
      <w:keepLines/>
      <w:numPr>
        <w:ilvl w:val="3"/>
        <w:numId w:val="1"/>
      </w:numPr>
      <w:spacing w:before="40" w:after="40"/>
      <w:ind w:firstLine="200" w:firstLineChars="200"/>
      <w:outlineLvl w:val="3"/>
    </w:pPr>
    <w:rPr>
      <w:rFonts w:eastAsia="仿宋" w:asciiTheme="majorHAnsi" w:hAnsiTheme="majorHAnsi"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正文1"/>
    <w:basedOn w:val="1"/>
    <w:autoRedefine/>
    <w:qFormat/>
    <w:uiPriority w:val="0"/>
    <w:pPr>
      <w:spacing w:line="480" w:lineRule="exact"/>
      <w:jc w:val="center"/>
    </w:pPr>
    <w:rPr>
      <w:rFonts w:ascii="仿宋" w:hAnsi="仿宋" w:eastAsia="仿宋" w:cs="仿宋"/>
      <w:b/>
      <w:sz w:val="44"/>
      <w:szCs w:val="84"/>
    </w:rPr>
  </w:style>
  <w:style w:type="paragraph" w:styleId="5">
    <w:name w:val="Body Text"/>
    <w:basedOn w:val="1"/>
    <w:next w:val="6"/>
    <w:autoRedefine/>
    <w:qFormat/>
    <w:uiPriority w:val="0"/>
    <w:pPr>
      <w:spacing w:after="120"/>
    </w:pPr>
  </w:style>
  <w:style w:type="paragraph" w:styleId="6">
    <w:name w:val="Plain Text"/>
    <w:basedOn w:val="1"/>
    <w:qFormat/>
    <w:uiPriority w:val="0"/>
    <w:rPr>
      <w:rFonts w:ascii="宋体" w:hAnsi="Courier New"/>
      <w:szCs w:val="20"/>
    </w:rPr>
  </w:style>
  <w:style w:type="paragraph" w:styleId="7">
    <w:name w:val="Body Text Indent"/>
    <w:basedOn w:val="1"/>
    <w:next w:val="8"/>
    <w:autoRedefine/>
    <w:semiHidden/>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1"/>
    <w:autoRedefine/>
    <w:unhideWhenUsed/>
    <w:qFormat/>
    <w:uiPriority w:val="99"/>
    <w:pPr>
      <w:tabs>
        <w:tab w:val="center" w:pos="4153"/>
        <w:tab w:val="right" w:pos="8306"/>
      </w:tabs>
      <w:snapToGrid w:val="0"/>
      <w:jc w:val="left"/>
    </w:pPr>
    <w:rPr>
      <w:sz w:val="18"/>
      <w:szCs w:val="18"/>
    </w:rPr>
  </w:style>
  <w:style w:type="paragraph" w:styleId="11">
    <w:name w:val="header"/>
    <w:basedOn w:val="1"/>
    <w:link w:val="2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autoRedefine/>
    <w:qFormat/>
    <w:uiPriority w:val="0"/>
    <w:pPr>
      <w:spacing w:before="200" w:after="400"/>
      <w:jc w:val="center"/>
      <w:outlineLvl w:val="0"/>
    </w:pPr>
    <w:rPr>
      <w:rFonts w:eastAsia="仿宋" w:asciiTheme="majorHAnsi" w:hAnsiTheme="majorHAnsi" w:cstheme="majorBidi"/>
      <w:b/>
      <w:bCs/>
      <w:sz w:val="44"/>
      <w:szCs w:val="32"/>
    </w:rPr>
  </w:style>
  <w:style w:type="paragraph" w:styleId="15">
    <w:name w:val="Body Text First Indent 2"/>
    <w:basedOn w:val="7"/>
    <w:autoRedefine/>
    <w:qFormat/>
    <w:uiPriority w:val="99"/>
    <w:pPr>
      <w:spacing w:after="0" w:line="560" w:lineRule="exact"/>
      <w:ind w:left="0" w:leftChars="0"/>
    </w:pPr>
    <w:rPr>
      <w:rFonts w:ascii="黑体" w:hAnsi="黑体" w:eastAsia="黑体" w:cs="Times New Roman"/>
      <w:sz w:val="28"/>
      <w:szCs w:val="32"/>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qFormat/>
    <w:uiPriority w:val="99"/>
    <w:rPr>
      <w:color w:val="0000FF"/>
      <w:u w:val="single"/>
    </w:rPr>
  </w:style>
  <w:style w:type="character" w:customStyle="1" w:styleId="20">
    <w:name w:val="页眉 字符"/>
    <w:basedOn w:val="18"/>
    <w:link w:val="11"/>
    <w:autoRedefine/>
    <w:semiHidden/>
    <w:qFormat/>
    <w:uiPriority w:val="99"/>
    <w:rPr>
      <w:sz w:val="18"/>
      <w:szCs w:val="18"/>
    </w:rPr>
  </w:style>
  <w:style w:type="character" w:customStyle="1" w:styleId="21">
    <w:name w:val="页脚 字符"/>
    <w:basedOn w:val="18"/>
    <w:link w:val="10"/>
    <w:autoRedefine/>
    <w:qFormat/>
    <w:uiPriority w:val="99"/>
    <w:rPr>
      <w:sz w:val="18"/>
      <w:szCs w:val="18"/>
    </w:rPr>
  </w:style>
  <w:style w:type="paragraph" w:customStyle="1" w:styleId="22">
    <w:name w:val="p0"/>
    <w:basedOn w:val="1"/>
    <w:autoRedefine/>
    <w:qFormat/>
    <w:uiPriority w:val="0"/>
    <w:pPr>
      <w:widowControl/>
    </w:pPr>
    <w:rPr>
      <w:rFonts w:ascii="Calibri" w:hAnsi="Calibri" w:eastAsia="宋体" w:cs="Calibri"/>
      <w:kern w:val="0"/>
      <w:szCs w:val="21"/>
    </w:rPr>
  </w:style>
  <w:style w:type="character" w:customStyle="1" w:styleId="23">
    <w:name w:val="批注框文本 字符"/>
    <w:basedOn w:val="18"/>
    <w:link w:val="9"/>
    <w:autoRedefine/>
    <w:semiHidden/>
    <w:qFormat/>
    <w:uiPriority w:val="99"/>
    <w:rPr>
      <w:sz w:val="18"/>
      <w:szCs w:val="18"/>
    </w:rPr>
  </w:style>
  <w:style w:type="paragraph" w:customStyle="1" w:styleId="24">
    <w:name w:val="标题1"/>
    <w:basedOn w:val="1"/>
    <w:next w:val="1"/>
    <w:autoRedefine/>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5">
    <w:name w:val="List Paragraph"/>
    <w:basedOn w:val="1"/>
    <w:autoRedefine/>
    <w:qFormat/>
    <w:uiPriority w:val="34"/>
    <w:pPr>
      <w:ind w:firstLine="420" w:firstLineChars="200"/>
    </w:pPr>
  </w:style>
  <w:style w:type="paragraph" w:customStyle="1" w:styleId="26">
    <w:name w:val="内容正文"/>
    <w:basedOn w:val="1"/>
    <w:autoRedefine/>
    <w:qFormat/>
    <w:uiPriority w:val="0"/>
    <w:pPr>
      <w:autoSpaceDE w:val="0"/>
      <w:autoSpaceDN w:val="0"/>
      <w:adjustRightInd w:val="0"/>
      <w:snapToGrid w:val="0"/>
      <w:spacing w:line="560" w:lineRule="exact"/>
      <w:ind w:right="-197" w:rightChars="-94" w:firstLine="560" w:firstLineChars="200"/>
      <w:contextualSpacing/>
      <w:jc w:val="left"/>
    </w:pPr>
    <w:rPr>
      <w:rFonts w:ascii="Times New Roman" w:hAnsi="Times New Roman" w:eastAsia="方正仿宋_GBK" w:cs="Times New Roman"/>
      <w:color w:val="FF0000"/>
      <w:sz w:val="28"/>
      <w:szCs w:val="28"/>
    </w:rPr>
  </w:style>
  <w:style w:type="character" w:customStyle="1" w:styleId="27">
    <w:name w:val="font31"/>
    <w:basedOn w:val="18"/>
    <w:autoRedefine/>
    <w:qFormat/>
    <w:uiPriority w:val="0"/>
    <w:rPr>
      <w:rFonts w:hint="default" w:ascii="Times New Roman" w:hAnsi="Times New Roman" w:cs="Times New Roman"/>
      <w:color w:val="000000"/>
      <w:sz w:val="21"/>
      <w:szCs w:val="21"/>
      <w:u w:val="none"/>
    </w:rPr>
  </w:style>
  <w:style w:type="character" w:customStyle="1" w:styleId="28">
    <w:name w:val="font51"/>
    <w:basedOn w:val="18"/>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FEE1D-728B-4024-9895-DD8A66FB474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3920</Words>
  <Characters>4085</Characters>
  <Lines>32</Lines>
  <Paragraphs>9</Paragraphs>
  <TotalTime>27</TotalTime>
  <ScaleCrop>false</ScaleCrop>
  <LinksUpToDate>false</LinksUpToDate>
  <CharactersWithSpaces>4185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2024-05-24T02:14:00Z</dcterms:created>
  <dc:creator>USER</dc:creator>
  <cp:lastModifiedBy>wyz</cp:lastModifiedBy>
  <cp:lastPrinted>2024-07-04T02:35:00Z</cp:lastPrinted>
  <dcterms:modified xsi:type="dcterms:W3CDTF">2024-07-26T09:29:24Z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2052-12.1.0.17147</vt:lpwstr>
  </property>
  <property fmtid="{D5CDD505-2E9C-101B-9397-08002B2CF9AE}" pid="4" name="ICV">
    <vt:lpwstr>228101B73DBF424C9A1F0FF86383173D_13</vt:lpwstr>
  </property>
</Properties>
</file>